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/>
          <w:color w:val="6B2230"/>
          <w:sz w:val="24"/>
        </w:rPr>
        <w:t>Artificial Intelligence in Healthcare Management and Economics</w:t>
      </w:r>
    </w:p>
    <w:p>
      <w:pPr>
        <w:spacing w:after="80"/>
      </w:pPr>
      <w:r>
        <w:rPr>
          <w:rFonts w:ascii="Aptos" w:hAnsi="Aptos"/>
          <w:color w:val="877567"/>
          <w:sz w:val="18"/>
        </w:rPr>
        <w:t>Part I — Managerial and Economic Foundations</w:t>
      </w:r>
    </w:p>
    <w:p>
      <w:pPr>
        <w:pStyle w:val="Heading1"/>
      </w:pPr>
      <w:r>
        <w:t>AIHE-C04 — Human Oversight and Accountability Matrix</w:t>
      </w:r>
    </w:p>
    <w:p>
      <w:pPr>
        <w:spacing w:after="80"/>
      </w:pPr>
      <w:r>
        <w:rPr>
          <w:color w:val="877567"/>
          <w:sz w:val="20"/>
        </w:rPr>
        <w:t>Chapter 3: Human–AI Decision Systems and Managerial Action</w:t>
      </w:r>
    </w:p>
    <w:p>
      <w:r>
        <w:t>Assign accountability, responsibility, consultation, information, escalation, pause, update, restart, and retirement authority.</w:t>
      </w:r>
    </w:p>
    <w:p>
      <w:r>
        <w:rPr>
          <w:rFonts w:ascii="Aptos" w:hAnsi="Aptos"/>
          <w:sz w:val="17"/>
        </w:rPr>
        <w:t>Resource: AIHE-C04  |  V1.0  |  Aligned chapters: 3, 10, 12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888"/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tblHeader/>
          <w:cantSplit/>
        </w:trPr>
        <w:tc>
          <w:tcPr>
            <w:tcW w:type="dxa" w:w="388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Activity</w:t>
            </w:r>
          </w:p>
        </w:tc>
        <w:tc>
          <w:tcPr>
            <w:tcW w:type="dxa" w:w="1440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Executive</w:t>
            </w:r>
          </w:p>
        </w:tc>
        <w:tc>
          <w:tcPr>
            <w:tcW w:type="dxa" w:w="1440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Clinical</w:t>
            </w:r>
          </w:p>
        </w:tc>
        <w:tc>
          <w:tcPr>
            <w:tcW w:type="dxa" w:w="1440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Quality</w:t>
            </w:r>
          </w:p>
        </w:tc>
        <w:tc>
          <w:tcPr>
            <w:tcW w:type="dxa" w:w="1440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Data/IT</w:t>
            </w:r>
          </w:p>
        </w:tc>
        <w:tc>
          <w:tcPr>
            <w:tcW w:type="dxa" w:w="1440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Economics</w:t>
            </w:r>
          </w:p>
        </w:tc>
        <w:tc>
          <w:tcPr>
            <w:tcW w:type="dxa" w:w="1440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Ethics/risk</w:t>
            </w:r>
          </w:p>
        </w:tc>
        <w:tc>
          <w:tcPr>
            <w:tcW w:type="dxa" w:w="1440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Procurement vendor</w:t>
            </w:r>
          </w:p>
        </w:tc>
      </w:tr>
      <w:tr>
        <w:trPr>
          <w:cantSplit/>
        </w:trPr>
        <w:tc>
          <w:tcPr>
            <w:tcW w:type="dxa" w:w="38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Define problem, comparator, and intended use</w:t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Assess evidence, data, and local validity</w:t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  <w:tr>
        <w:trPr>
          <w:cantSplit/>
        </w:trPr>
        <w:tc>
          <w:tcPr>
            <w:tcW w:type="dxa" w:w="38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Conduct economic and affordability analysis</w:t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Approve procurement, contract, and pilot</w:t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  <w:tr>
        <w:trPr>
          <w:cantSplit/>
        </w:trPr>
        <w:tc>
          <w:tcPr>
            <w:tcW w:type="dxa" w:w="38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Operate, review, override, and escalate</w:t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Investigate incidents and corrective action</w:t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  <w:tr>
        <w:trPr>
          <w:cantSplit/>
        </w:trPr>
        <w:tc>
          <w:tcPr>
            <w:tcW w:type="dxa" w:w="38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Approve material change or expansion</w:t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Renew, restrict, replace, pause, restart, or retire</w:t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p>
      <w:pPr>
        <w:pageBreakBefore/>
        <w:spacing w:after="80"/>
      </w:pPr>
      <w:r>
        <w:rPr>
          <w:rFonts w:ascii="Aptos" w:hAnsi="Aptos"/>
          <w:color w:val="877567"/>
          <w:sz w:val="18"/>
        </w:rPr>
        <w:t>Part I — Managerial and Economic Foundations</w:t>
      </w:r>
    </w:p>
    <w:p>
      <w:pPr>
        <w:pStyle w:val="Heading1"/>
      </w:pPr>
      <w:r>
        <w:t>AIHE-C04 — Human Oversight and Accountability Matrix</w:t>
      </w:r>
    </w:p>
    <w:p>
      <w:pPr>
        <w:spacing w:after="80"/>
      </w:pPr>
      <w:r>
        <w:rPr>
          <w:color w:val="877567"/>
          <w:sz w:val="20"/>
        </w:rPr>
        <w:t>Chapter 3: Human–AI Decision Systems and Managerial Action</w:t>
      </w:r>
    </w:p>
    <w:p>
      <w:r>
        <w:t>Assign accountability, responsibility, consultation, information, escalation, pause, update, restart, and retirement authority.</w:t>
      </w:r>
    </w:p>
    <w:p>
      <w:r>
        <w:rPr>
          <w:rFonts w:ascii="Aptos" w:hAnsi="Aptos"/>
          <w:sz w:val="17"/>
        </w:rPr>
        <w:t>Resource: AIHE-C04  |  V1.0  |  Aligned chapters: 3, 10, 12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p>
      <w:pPr>
        <w:pStyle w:val="Heading2"/>
      </w:pPr>
      <w:r>
        <w:t>Synthetic illustration — not empirical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3888"/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tblHeader/>
          <w:cantSplit/>
        </w:trPr>
        <w:tc>
          <w:tcPr>
            <w:tcW w:type="dxa" w:w="388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Activity</w:t>
            </w:r>
          </w:p>
        </w:tc>
        <w:tc>
          <w:tcPr>
            <w:tcW w:type="dxa" w:w="1440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Executive</w:t>
            </w:r>
          </w:p>
        </w:tc>
        <w:tc>
          <w:tcPr>
            <w:tcW w:type="dxa" w:w="1440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Clinical</w:t>
            </w:r>
          </w:p>
        </w:tc>
        <w:tc>
          <w:tcPr>
            <w:tcW w:type="dxa" w:w="1440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Quality</w:t>
            </w:r>
          </w:p>
        </w:tc>
        <w:tc>
          <w:tcPr>
            <w:tcW w:type="dxa" w:w="1440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Data/IT</w:t>
            </w:r>
          </w:p>
        </w:tc>
        <w:tc>
          <w:tcPr>
            <w:tcW w:type="dxa" w:w="1440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Economics</w:t>
            </w:r>
          </w:p>
        </w:tc>
        <w:tc>
          <w:tcPr>
            <w:tcW w:type="dxa" w:w="1440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Ethics/risk</w:t>
            </w:r>
          </w:p>
        </w:tc>
        <w:tc>
          <w:tcPr>
            <w:tcW w:type="dxa" w:w="1440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7"/>
              </w:rPr>
              <w:t>Procurement vendor</w:t>
            </w:r>
          </w:p>
        </w:tc>
      </w:tr>
      <w:tr>
        <w:trPr>
          <w:cantSplit/>
        </w:trPr>
        <w:tc>
          <w:tcPr>
            <w:tcW w:type="dxa" w:w="38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Define problem, comparator, and intended use</w:t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Assess evidence, data, and local validity</w:t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8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Conduct economic and affordability analysis</w:t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Approve procurement, contract, and pilot</w:t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8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Operate, review, override, and escalate</w:t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Investigate incidents and corrective action</w:t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8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Approve material change or expansion</w:t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  <w:tr>
        <w:trPr>
          <w:cantSplit/>
        </w:trPr>
        <w:tc>
          <w:tcPr>
            <w:tcW w:type="dxa" w:w="38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Renew, restrict, replace, pause, restart, or retire</w:t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</w:r>
          </w:p>
        </w:tc>
        <w:tc>
          <w:tcPr>
            <w:tcW w:type="dxa" w:w="1440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7"/>
              </w:rPr>
              <w:t>Illustrative entry: evidence and an accountable owner to be confirmed locally.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sectPr>
      <w:headerReference w:type="default" r:id="rId9"/>
      <w:footerReference w:type="default" r:id="rId10"/>
      <w:pgSz w:w="15840" w:h="12240" w:orient="landscape"/>
      <w:pgMar w:top="936" w:right="936" w:bottom="864" w:left="936" w:header="403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77567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" w:hAnsi="Aptos"/>
      <w:b/>
      <w:color w:val="6B223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" w:hAnsi="Aptos"/>
      <w:b w:val="0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