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AIHE-B03 — Benefit Realization and Capacity Conversion</w:t>
      </w:r>
    </w:p>
    <w:p>
      <w:pPr>
        <w:spacing w:after="80"/>
      </w:pPr>
      <w:r>
        <w:rPr>
          <w:color w:val="877567"/>
          <w:sz w:val="20"/>
        </w:rPr>
        <w:t>Chapter 4: Productivity, Work Redesign, and Implementation</w:t>
      </w:r>
    </w:p>
    <w:p>
      <w:r>
        <w:t>Translate claimed benefits into measurable mechanisms, owners, baselines, conversion conditions, and realized results.</w:t>
      </w:r>
    </w:p>
    <w:p>
      <w:r>
        <w:rPr>
          <w:rFonts w:ascii="Aptos" w:hAnsi="Aptos"/>
          <w:sz w:val="17"/>
        </w:rPr>
        <w:t>Resource: AIHE-B03  |  V1.0  |  Aligned chapters: 4, 6, 7,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2794"/>
        <w:gridCol w:w="2794"/>
        <w:gridCol w:w="2794"/>
        <w:gridCol w:w="2794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Claimed benefit and comparator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Causal mechanism, affected workflow, and distribution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Measure, baseline, evidence, and attribution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Owner, timing, and capacity-allocation decision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Review burden, conversion condition, realized result, and financial treatment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AIHE-B03 — Benefit Realization and Capacity Conversion</w:t>
      </w:r>
    </w:p>
    <w:p>
      <w:pPr>
        <w:spacing w:after="80"/>
      </w:pPr>
      <w:r>
        <w:rPr>
          <w:color w:val="877567"/>
          <w:sz w:val="20"/>
        </w:rPr>
        <w:t>Chapter 4: Productivity, Work Redesign, and Implementation</w:t>
      </w:r>
    </w:p>
    <w:p>
      <w:r>
        <w:t>Translate claimed benefits into measurable mechanisms, owners, baselines, conversion conditions, and realized results.</w:t>
      </w:r>
    </w:p>
    <w:p>
      <w:r>
        <w:rPr>
          <w:rFonts w:ascii="Aptos" w:hAnsi="Aptos"/>
          <w:sz w:val="17"/>
        </w:rPr>
        <w:t>Resource: AIHE-B03  |  V1.0  |  Aligned chapters: 4, 6, 7,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2794"/>
        <w:gridCol w:w="2794"/>
        <w:gridCol w:w="2794"/>
        <w:gridCol w:w="2794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Claimed benefit and comparator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Causal mechanism, affected workflow, and distribution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Measure, baseline, evidence, and attribution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Owner, timing, and capacity-allocation decision</w:t>
            </w:r>
          </w:p>
        </w:tc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Review burden, conversion condition, realized result, and financial treatment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