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color w:val="6B2230"/>
          <w:sz w:val="24"/>
        </w:rPr>
        <w:t>Artificial Intelligence in Healthcare Management and Economics</w:t>
      </w:r>
    </w:p>
    <w:p>
      <w:pPr>
        <w:spacing w:after="80"/>
      </w:pPr>
      <w:r>
        <w:rPr>
          <w:rFonts w:ascii="Aptos" w:hAnsi="Aptos"/>
          <w:color w:val="877567"/>
          <w:sz w:val="18"/>
        </w:rPr>
        <w:t>Part III — Economic Evaluation, Decision Modelling, and Procurement</w:t>
      </w:r>
    </w:p>
    <w:p>
      <w:pPr>
        <w:pStyle w:val="Heading1"/>
      </w:pPr>
      <w:r>
        <w:t>AIHE-B02 — Lifecycle Cost and Pricing Record</w:t>
      </w:r>
    </w:p>
    <w:p>
      <w:pPr>
        <w:spacing w:after="80"/>
      </w:pPr>
      <w:r>
        <w:rPr>
          <w:color w:val="877567"/>
          <w:sz w:val="20"/>
        </w:rPr>
        <w:t>Chapter 6: Lifecycle Cost, Pricing, and Benefit Realization</w:t>
      </w:r>
    </w:p>
    <w:p>
      <w:r>
        <w:t>Record acquisition through exit costs, resource use, pricing exposure, opportunity cost, residual value, and evidence.</w:t>
      </w:r>
    </w:p>
    <w:p>
      <w:r>
        <w:rPr>
          <w:rFonts w:ascii="Aptos" w:hAnsi="Aptos"/>
          <w:sz w:val="17"/>
        </w:rPr>
        <w:t>Resource: AIHE-B02  |  V1.0  |  Aligned chapters: 6, 9, 12</w:t>
      </w:r>
    </w:p>
    <w:p>
      <w:r>
        <w:t>Keep economic resource cost, cash expenditure, and accounting expense separate. Where physical assets are material, record supported service life, maintenance, replacement timing, and realizable residual value net of recovery costs (book §§6.2.3–6.2.4).</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160"/>
        <w:gridCol w:w="1872"/>
        <w:gridCol w:w="792"/>
        <w:gridCol w:w="1224"/>
        <w:gridCol w:w="1296"/>
        <w:gridCol w:w="1296"/>
        <w:gridCol w:w="1584"/>
        <w:gridCol w:w="1224"/>
        <w:gridCol w:w="2520"/>
      </w:tblGrid>
      <w:tr>
        <w:trPr>
          <w:tblHeader/>
          <w:cantSplit/>
        </w:trPr>
        <w:tc>
          <w:tcPr>
            <w:tcW w:type="dxa" w:w="2160"/>
            <w:shd w:fill="6B2230" w:val="clear"/>
          </w:tcPr>
          <w:p>
            <w:pPr>
              <w:spacing w:after="60" w:before="60"/>
            </w:pPr>
            <w:r>
              <w:rPr>
                <w:rFonts w:ascii="Aptos" w:hAnsi="Aptos"/>
                <w:b/>
                <w:color w:val="FFFFFF"/>
                <w:sz w:val="17"/>
              </w:rPr>
              <w:t>Lifecycle layer</w:t>
            </w:r>
          </w:p>
        </w:tc>
        <w:tc>
          <w:tcPr>
            <w:tcW w:type="dxa" w:w="1872"/>
            <w:shd w:fill="6B2230" w:val="clear"/>
          </w:tcPr>
          <w:p>
            <w:pPr>
              <w:spacing w:after="60" w:before="60"/>
            </w:pPr>
            <w:r>
              <w:rPr>
                <w:rFonts w:ascii="Aptos" w:hAnsi="Aptos"/>
                <w:b/>
                <w:color w:val="FFFFFF"/>
                <w:sz w:val="17"/>
              </w:rPr>
              <w:t>Resource or pricing unit</w:t>
            </w:r>
          </w:p>
        </w:tc>
        <w:tc>
          <w:tcPr>
            <w:tcW w:type="dxa" w:w="792"/>
            <w:shd w:fill="6B2230" w:val="clear"/>
          </w:tcPr>
          <w:p>
            <w:pPr>
              <w:spacing w:after="60" w:before="60"/>
            </w:pPr>
            <w:r>
              <w:rPr>
                <w:rFonts w:ascii="Aptos" w:hAnsi="Aptos"/>
                <w:b/>
                <w:color w:val="FFFFFF"/>
                <w:sz w:val="17"/>
              </w:rPr>
              <w:t>Quantity</w:t>
            </w:r>
          </w:p>
        </w:tc>
        <w:tc>
          <w:tcPr>
            <w:tcW w:type="dxa" w:w="1224"/>
            <w:shd w:fill="6B2230" w:val="clear"/>
          </w:tcPr>
          <w:p>
            <w:pPr>
              <w:spacing w:after="60" w:before="60"/>
            </w:pPr>
            <w:r>
              <w:rPr>
                <w:rFonts w:ascii="Aptos" w:hAnsi="Aptos"/>
                <w:b/>
                <w:color w:val="FFFFFF"/>
                <w:sz w:val="17"/>
              </w:rPr>
              <w:t>Economic cost</w:t>
            </w:r>
          </w:p>
        </w:tc>
        <w:tc>
          <w:tcPr>
            <w:tcW w:type="dxa" w:w="1296"/>
            <w:shd w:fill="6B2230" w:val="clear"/>
          </w:tcPr>
          <w:p>
            <w:pPr>
              <w:spacing w:after="60" w:before="60"/>
            </w:pPr>
            <w:r>
              <w:rPr>
                <w:rFonts w:ascii="Aptos" w:hAnsi="Aptos"/>
                <w:b/>
                <w:color w:val="FFFFFF"/>
                <w:sz w:val="17"/>
              </w:rPr>
              <w:t>Cash expenditure</w:t>
            </w:r>
          </w:p>
        </w:tc>
        <w:tc>
          <w:tcPr>
            <w:tcW w:type="dxa" w:w="1296"/>
            <w:shd w:fill="6B2230" w:val="clear"/>
          </w:tcPr>
          <w:p>
            <w:pPr>
              <w:spacing w:after="60" w:before="60"/>
            </w:pPr>
            <w:r>
              <w:rPr>
                <w:rFonts w:ascii="Aptos" w:hAnsi="Aptos"/>
                <w:b/>
                <w:color w:val="FFFFFF"/>
                <w:sz w:val="17"/>
              </w:rPr>
              <w:t>Accounting expense</w:t>
            </w:r>
          </w:p>
        </w:tc>
        <w:tc>
          <w:tcPr>
            <w:tcW w:type="dxa" w:w="1584"/>
            <w:shd w:fill="6B2230" w:val="clear"/>
          </w:tcPr>
          <w:p>
            <w:pPr>
              <w:spacing w:after="60" w:before="60"/>
            </w:pPr>
            <w:r>
              <w:rPr>
                <w:rFonts w:ascii="Aptos" w:hAnsi="Aptos"/>
                <w:b/>
                <w:color w:val="FFFFFF"/>
                <w:sz w:val="17"/>
              </w:rPr>
              <w:t>Budget owner or incidence</w:t>
            </w:r>
          </w:p>
        </w:tc>
        <w:tc>
          <w:tcPr>
            <w:tcW w:type="dxa" w:w="1224"/>
            <w:shd w:fill="6B2230" w:val="clear"/>
          </w:tcPr>
          <w:p>
            <w:pPr>
              <w:spacing w:after="60" w:before="60"/>
            </w:pPr>
            <w:r>
              <w:rPr>
                <w:rFonts w:ascii="Aptos" w:hAnsi="Aptos"/>
                <w:b/>
                <w:color w:val="FFFFFF"/>
                <w:sz w:val="17"/>
              </w:rPr>
              <w:t>Timing or scenario</w:t>
            </w:r>
          </w:p>
        </w:tc>
        <w:tc>
          <w:tcPr>
            <w:tcW w:type="dxa" w:w="2520"/>
            <w:shd w:fill="6B2230" w:val="clear"/>
          </w:tcPr>
          <w:p>
            <w:pPr>
              <w:spacing w:after="60" w:before="60"/>
            </w:pPr>
            <w:r>
              <w:rPr>
                <w:rFonts w:ascii="Aptos" w:hAnsi="Aptos"/>
                <w:b/>
                <w:color w:val="FFFFFF"/>
                <w:sz w:val="17"/>
              </w:rPr>
              <w:t>Evidence, assumptions, and notes</w:t>
            </w:r>
          </w:p>
        </w:tc>
      </w:tr>
      <w:tr>
        <w:trPr>
          <w:cantSplit/>
        </w:trPr>
        <w:tc>
          <w:tcPr>
            <w:tcW w:type="dxa" w:w="2160"/>
            <w:shd w:fill="F5F0E7" w:val="clear"/>
          </w:tcPr>
          <w:p>
            <w:pPr>
              <w:spacing w:after="60" w:before="60" w:line="252" w:lineRule="auto"/>
            </w:pPr>
            <w:r>
              <w:rPr>
                <w:rFonts w:ascii="Aptos" w:hAnsi="Aptos"/>
                <w:color w:val="303236"/>
                <w:sz w:val="17"/>
              </w:rPr>
              <w:t>Acquisition, licence, and initial commitment</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Data preparation, governance, and access</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Integration, infrastructure, and interoperability</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Validation, assurance, and implementation</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Training, workflow redesign, and human review</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Quality, ethics, legal, privacy, and audit</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Cybersecurity, resilience, downtime, and incidents</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Monitoring, updates, support, and renewal</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Opportunity cost and displaced or released capacity</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Transition, replacement, retirement, and exit</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Realizable residual value or recovery credit</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III — Economic Evaluation, Decision Modelling, and Procurement</w:t>
      </w:r>
    </w:p>
    <w:p>
      <w:pPr>
        <w:pStyle w:val="Heading1"/>
      </w:pPr>
      <w:r>
        <w:t>AIHE-B02 — Lifecycle Cost and Pricing Record</w:t>
      </w:r>
    </w:p>
    <w:p>
      <w:pPr>
        <w:spacing w:after="80"/>
      </w:pPr>
      <w:r>
        <w:rPr>
          <w:color w:val="877567"/>
          <w:sz w:val="20"/>
        </w:rPr>
        <w:t>Chapter 6: Lifecycle Cost, Pricing, and Benefit Realization</w:t>
      </w:r>
    </w:p>
    <w:p>
      <w:r>
        <w:t>Record acquisition through exit costs, resource use, pricing exposure, opportunity cost, residual value, and evidence.</w:t>
      </w:r>
    </w:p>
    <w:p>
      <w:r>
        <w:rPr>
          <w:rFonts w:ascii="Aptos" w:hAnsi="Aptos"/>
          <w:sz w:val="17"/>
        </w:rPr>
        <w:t>Resource: AIHE-B02  |  V1.0  |  Aligned chapters: 6, 9, 12</w:t>
      </w:r>
    </w:p>
    <w:p>
      <w:r>
        <w:t>Keep economic resource cost, cash expenditure, and accounting expense separate. Where physical assets are material, record supported service life, maintenance, replacement timing, and realizable residual value net of recovery costs (book §§6.2.3–6.2.4).</w:t>
      </w:r>
    </w:p>
    <w:p>
      <w:pPr>
        <w:pStyle w:val="Heading2"/>
      </w:pPr>
      <w:r>
        <w:t>Synthetic illustration — not empirical evidence</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160"/>
        <w:gridCol w:w="1872"/>
        <w:gridCol w:w="792"/>
        <w:gridCol w:w="1224"/>
        <w:gridCol w:w="1296"/>
        <w:gridCol w:w="1296"/>
        <w:gridCol w:w="1584"/>
        <w:gridCol w:w="1224"/>
        <w:gridCol w:w="2520"/>
      </w:tblGrid>
      <w:tr>
        <w:trPr>
          <w:tblHeader/>
          <w:cantSplit/>
        </w:trPr>
        <w:tc>
          <w:tcPr>
            <w:tcW w:type="dxa" w:w="2160"/>
            <w:shd w:fill="6B2230" w:val="clear"/>
          </w:tcPr>
          <w:p>
            <w:pPr>
              <w:spacing w:after="60" w:before="60"/>
            </w:pPr>
            <w:r>
              <w:rPr>
                <w:rFonts w:ascii="Aptos" w:hAnsi="Aptos"/>
                <w:b/>
                <w:color w:val="FFFFFF"/>
                <w:sz w:val="17"/>
              </w:rPr>
              <w:t>Lifecycle layer</w:t>
            </w:r>
          </w:p>
        </w:tc>
        <w:tc>
          <w:tcPr>
            <w:tcW w:type="dxa" w:w="1872"/>
            <w:shd w:fill="6B2230" w:val="clear"/>
          </w:tcPr>
          <w:p>
            <w:pPr>
              <w:spacing w:after="60" w:before="60"/>
            </w:pPr>
            <w:r>
              <w:rPr>
                <w:rFonts w:ascii="Aptos" w:hAnsi="Aptos"/>
                <w:b/>
                <w:color w:val="FFFFFF"/>
                <w:sz w:val="17"/>
              </w:rPr>
              <w:t>Resource or pricing unit</w:t>
            </w:r>
          </w:p>
        </w:tc>
        <w:tc>
          <w:tcPr>
            <w:tcW w:type="dxa" w:w="792"/>
            <w:shd w:fill="6B2230" w:val="clear"/>
          </w:tcPr>
          <w:p>
            <w:pPr>
              <w:spacing w:after="60" w:before="60"/>
            </w:pPr>
            <w:r>
              <w:rPr>
                <w:rFonts w:ascii="Aptos" w:hAnsi="Aptos"/>
                <w:b/>
                <w:color w:val="FFFFFF"/>
                <w:sz w:val="17"/>
              </w:rPr>
              <w:t>Quantity</w:t>
            </w:r>
          </w:p>
        </w:tc>
        <w:tc>
          <w:tcPr>
            <w:tcW w:type="dxa" w:w="1224"/>
            <w:shd w:fill="6B2230" w:val="clear"/>
          </w:tcPr>
          <w:p>
            <w:pPr>
              <w:spacing w:after="60" w:before="60"/>
            </w:pPr>
            <w:r>
              <w:rPr>
                <w:rFonts w:ascii="Aptos" w:hAnsi="Aptos"/>
                <w:b/>
                <w:color w:val="FFFFFF"/>
                <w:sz w:val="17"/>
              </w:rPr>
              <w:t>Economic cost</w:t>
            </w:r>
          </w:p>
        </w:tc>
        <w:tc>
          <w:tcPr>
            <w:tcW w:type="dxa" w:w="1296"/>
            <w:shd w:fill="6B2230" w:val="clear"/>
          </w:tcPr>
          <w:p>
            <w:pPr>
              <w:spacing w:after="60" w:before="60"/>
            </w:pPr>
            <w:r>
              <w:rPr>
                <w:rFonts w:ascii="Aptos" w:hAnsi="Aptos"/>
                <w:b/>
                <w:color w:val="FFFFFF"/>
                <w:sz w:val="17"/>
              </w:rPr>
              <w:t>Cash expenditure</w:t>
            </w:r>
          </w:p>
        </w:tc>
        <w:tc>
          <w:tcPr>
            <w:tcW w:type="dxa" w:w="1296"/>
            <w:shd w:fill="6B2230" w:val="clear"/>
          </w:tcPr>
          <w:p>
            <w:pPr>
              <w:spacing w:after="60" w:before="60"/>
            </w:pPr>
            <w:r>
              <w:rPr>
                <w:rFonts w:ascii="Aptos" w:hAnsi="Aptos"/>
                <w:b/>
                <w:color w:val="FFFFFF"/>
                <w:sz w:val="17"/>
              </w:rPr>
              <w:t>Accounting expense</w:t>
            </w:r>
          </w:p>
        </w:tc>
        <w:tc>
          <w:tcPr>
            <w:tcW w:type="dxa" w:w="1584"/>
            <w:shd w:fill="6B2230" w:val="clear"/>
          </w:tcPr>
          <w:p>
            <w:pPr>
              <w:spacing w:after="60" w:before="60"/>
            </w:pPr>
            <w:r>
              <w:rPr>
                <w:rFonts w:ascii="Aptos" w:hAnsi="Aptos"/>
                <w:b/>
                <w:color w:val="FFFFFF"/>
                <w:sz w:val="17"/>
              </w:rPr>
              <w:t>Budget owner or incidence</w:t>
            </w:r>
          </w:p>
        </w:tc>
        <w:tc>
          <w:tcPr>
            <w:tcW w:type="dxa" w:w="1224"/>
            <w:shd w:fill="6B2230" w:val="clear"/>
          </w:tcPr>
          <w:p>
            <w:pPr>
              <w:spacing w:after="60" w:before="60"/>
            </w:pPr>
            <w:r>
              <w:rPr>
                <w:rFonts w:ascii="Aptos" w:hAnsi="Aptos"/>
                <w:b/>
                <w:color w:val="FFFFFF"/>
                <w:sz w:val="17"/>
              </w:rPr>
              <w:t>Timing or scenario</w:t>
            </w:r>
          </w:p>
        </w:tc>
        <w:tc>
          <w:tcPr>
            <w:tcW w:type="dxa" w:w="2520"/>
            <w:shd w:fill="6B2230" w:val="clear"/>
          </w:tcPr>
          <w:p>
            <w:pPr>
              <w:spacing w:after="60" w:before="60"/>
            </w:pPr>
            <w:r>
              <w:rPr>
                <w:rFonts w:ascii="Aptos" w:hAnsi="Aptos"/>
                <w:b/>
                <w:color w:val="FFFFFF"/>
                <w:sz w:val="17"/>
              </w:rPr>
              <w:t>Evidence, assumptions, and notes</w:t>
            </w:r>
          </w:p>
        </w:tc>
      </w:tr>
      <w:tr>
        <w:trPr>
          <w:cantSplit/>
        </w:trPr>
        <w:tc>
          <w:tcPr>
            <w:tcW w:type="dxa" w:w="2160"/>
            <w:shd w:fill="F5F0E7" w:val="clear"/>
          </w:tcPr>
          <w:p>
            <w:pPr>
              <w:spacing w:after="60" w:before="60" w:line="252" w:lineRule="auto"/>
            </w:pPr>
            <w:r>
              <w:rPr>
                <w:rFonts w:ascii="Aptos" w:hAnsi="Aptos"/>
                <w:color w:val="303236"/>
                <w:sz w:val="17"/>
              </w:rPr>
              <w:t>Acquisition, licence, and initial commitment</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tcPr>
          <w:p>
            <w:pPr>
              <w:spacing w:after="60" w:before="60" w:line="252" w:lineRule="auto"/>
            </w:pPr>
            <w:r>
              <w:rPr>
                <w:rFonts w:ascii="Aptos" w:hAnsi="Aptos"/>
                <w:color w:val="303236"/>
                <w:sz w:val="17"/>
              </w:rPr>
              <w:t>Data preparation, governance, and access</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shd w:fill="F5F0E7" w:val="clear"/>
          </w:tcPr>
          <w:p>
            <w:pPr>
              <w:spacing w:after="60" w:before="60" w:line="252" w:lineRule="auto"/>
            </w:pPr>
            <w:r>
              <w:rPr>
                <w:rFonts w:ascii="Aptos" w:hAnsi="Aptos"/>
                <w:color w:val="303236"/>
                <w:sz w:val="17"/>
              </w:rPr>
              <w:t>Integration, infrastructure, and interoperability</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tcPr>
          <w:p>
            <w:pPr>
              <w:spacing w:after="60" w:before="60" w:line="252" w:lineRule="auto"/>
            </w:pPr>
            <w:r>
              <w:rPr>
                <w:rFonts w:ascii="Aptos" w:hAnsi="Aptos"/>
                <w:color w:val="303236"/>
                <w:sz w:val="17"/>
              </w:rPr>
              <w:t>Validation, assurance, and implementation</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shd w:fill="F5F0E7" w:val="clear"/>
          </w:tcPr>
          <w:p>
            <w:pPr>
              <w:spacing w:after="60" w:before="60" w:line="252" w:lineRule="auto"/>
            </w:pPr>
            <w:r>
              <w:rPr>
                <w:rFonts w:ascii="Aptos" w:hAnsi="Aptos"/>
                <w:color w:val="303236"/>
                <w:sz w:val="17"/>
              </w:rPr>
              <w:t>Training, workflow redesign, and human review</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tcPr>
          <w:p>
            <w:pPr>
              <w:spacing w:after="60" w:before="60" w:line="252" w:lineRule="auto"/>
            </w:pPr>
            <w:r>
              <w:rPr>
                <w:rFonts w:ascii="Aptos" w:hAnsi="Aptos"/>
                <w:color w:val="303236"/>
                <w:sz w:val="17"/>
              </w:rPr>
              <w:t>Quality, ethics, legal, privacy, and audit</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shd w:fill="F5F0E7" w:val="clear"/>
          </w:tcPr>
          <w:p>
            <w:pPr>
              <w:spacing w:after="60" w:before="60" w:line="252" w:lineRule="auto"/>
            </w:pPr>
            <w:r>
              <w:rPr>
                <w:rFonts w:ascii="Aptos" w:hAnsi="Aptos"/>
                <w:color w:val="303236"/>
                <w:sz w:val="17"/>
              </w:rPr>
              <w:t>Cybersecurity, resilience, downtime, and incidents</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tcPr>
          <w:p>
            <w:pPr>
              <w:spacing w:after="60" w:before="60" w:line="252" w:lineRule="auto"/>
            </w:pPr>
            <w:r>
              <w:rPr>
                <w:rFonts w:ascii="Aptos" w:hAnsi="Aptos"/>
                <w:color w:val="303236"/>
                <w:sz w:val="17"/>
              </w:rPr>
              <w:t>Monitoring, updates, support, and renewal</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shd w:fill="F5F0E7" w:val="clear"/>
          </w:tcPr>
          <w:p>
            <w:pPr>
              <w:spacing w:after="60" w:before="60" w:line="252" w:lineRule="auto"/>
            </w:pPr>
            <w:r>
              <w:rPr>
                <w:rFonts w:ascii="Aptos" w:hAnsi="Aptos"/>
                <w:color w:val="303236"/>
                <w:sz w:val="17"/>
              </w:rPr>
              <w:t>Opportunity cost and displaced or released capacity</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tcPr>
          <w:p>
            <w:pPr>
              <w:spacing w:after="60" w:before="60" w:line="252" w:lineRule="auto"/>
            </w:pPr>
            <w:r>
              <w:rPr>
                <w:rFonts w:ascii="Aptos" w:hAnsi="Aptos"/>
                <w:color w:val="303236"/>
                <w:sz w:val="17"/>
              </w:rPr>
              <w:t>Transition, replacement, retirement, and exit</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t>Illustrative entry: evidence and an accountable owner to be confirmed locally.</w:t>
            </w:r>
          </w:p>
        </w:tc>
      </w:tr>
      <w:tr>
        <w:trPr>
          <w:cantSplit/>
        </w:trPr>
        <w:tc>
          <w:tcPr>
            <w:tcW w:type="dxa" w:w="2160"/>
            <w:shd w:fill="F5F0E7" w:val="clear"/>
          </w:tcPr>
          <w:p>
            <w:pPr>
              <w:spacing w:after="60" w:before="60" w:line="252" w:lineRule="auto"/>
            </w:pPr>
            <w:r>
              <w:rPr>
                <w:rFonts w:ascii="Aptos" w:hAnsi="Aptos"/>
                <w:color w:val="303236"/>
                <w:sz w:val="17"/>
              </w:rPr>
              <w:t>Realizable residual value or recovery credit</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t>Illustrative entry: evidence and an accountable owner to be confirmed locally.</w:t>
            </w:r>
          </w:p>
        </w:tc>
      </w:tr>
    </w:tbl>
    <w:p>
      <w:r>
        <w:rPr>
          <w:rFonts w:ascii="Aptos" w:hAnsi="Aptos"/>
          <w:sz w:val="16"/>
        </w:rPr>
        <w:t>Local record control: owner __________________  evidence cut-off __________  next review __________  local version __________</w:t>
      </w:r>
    </w:p>
    <w:sectPr>
      <w:headerReference w:type="default" r:id="rId9"/>
      <w:footerReference w:type="default" r:id="rId10"/>
      <w:pgSz w:w="15840" w:h="12240" w:orient="landscape"/>
      <w:pgMar w:top="936" w:right="936" w:bottom="864" w:left="936"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6B223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30323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6B22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keepNext/>
      <w:pBdr>
        <w:bottom w:val="single" w:sz="8" w:space="4" w:color="877567" w:themeColor="accent1"/>
      </w:pBdr>
      <w:spacing w:after="120" w:line="240" w:lineRule="auto" w:before="240"/>
      <w:contextualSpacing/>
    </w:pPr>
    <w:rPr>
      <w:rFonts w:asciiTheme="majorHAnsi" w:eastAsiaTheme="majorEastAsia" w:hAnsiTheme="majorHAnsi" w:cstheme="majorBidi" w:ascii="Aptos" w:hAnsi="Aptos"/>
      <w:b/>
      <w:color w:val="6B22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30323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