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rPr>
          <w:rFonts w:ascii="Arial" w:hAnsi="Arial"/>
          <w:color w:val="303236"/>
        </w:rPr>
        <w:t>AIHE-EX17 — AI Pricing and Contract Scenario Record</w:t>
      </w:r>
    </w:p>
    <w:p>
      <w:r>
        <w:rPr>
          <w:rFonts w:ascii="Arial" w:hAnsi="Arial"/>
          <w:color w:val="595959"/>
          <w:sz w:val="17"/>
        </w:rPr>
        <w:t>Current digital location: Resource Set B — Economic Evaluation, Evidence, and Decision Modeling. Stable resource ID retained for continuity across companion editions.</w:t>
      </w:r>
    </w:p>
    <w:p>
      <w:pPr>
        <w:jc w:val="centre"/>
      </w:pPr>
      <w:r>
        <w:rPr>
          <w:b/>
          <w:color w:val="303236"/>
        </w:rPr>
        <w:t>Synthetic worked example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B — Economic Evaluation, Evidence, and Decision Modeling</w:t>
            </w:r>
          </w:p>
        </w:tc>
      </w:tr>
      <w:tr>
        <w:tc>
          <w:tcPr>
            <w:tcW w:type="dxa" w:w="52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6: Lifecycle Cost, Pricing, and Benefit Realization; Chapter 9: Problem-First Procurement and Vendor Governance; Chapter 12: Decision Architecture and Lifecycle Governance</w:t>
            </w:r>
          </w:p>
        </w:tc>
      </w:tr>
      <w:tr>
        <w:tc>
          <w:tcPr>
            <w:tcW w:type="dxa" w:w="52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04: 04_Economics_HTA_Pricing</w:t>
            </w:r>
          </w:p>
        </w:tc>
      </w:tr>
      <w:tr>
        <w:tc>
          <w:tcPr>
            <w:tcW w:type="dxa" w:w="52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>
              <w:t>V1.0 | aligned to the twelve-chapter reference edition and Resource Sets A–D</w:t>
            </w:r>
          </w:p>
        </w:tc>
      </w:tr>
    </w:tbl>
    <w:p>
      <w:r>
        <w:rPr>
          <w:b/>
        </w:rPr>
        <w:t xml:space="preserve">Purpose. </w:t>
      </w:r>
      <w:r>
        <w:t>Model base and variable fees in clinically legible units, cap exposure, price support explicitly, and link renewal to realized value.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r>
        <w:rPr>
          <w:b/>
        </w:rPr>
        <w:t xml:space="preserve">Worked-example status. </w:t>
      </w:r>
      <w:r>
        <w:t>All names, organizations, figures, findings, and decisions are fictional and are included only to demonstrate completion logic.</w:t>
      </w:r>
    </w:p>
    <w:p>
      <w:pPr>
        <w:pStyle w:val="Heading1"/>
        <w:keepNext/>
      </w:pPr>
      <w:r>
        <w:t>How to use this resource</w:t>
      </w:r>
    </w:p>
    <w:p>
      <w:r>
        <w:t>Express pricing in units that clinical, operational, procurement, and finance teams can forecast and audit. Opaque token or compute pricing should be translated into budgetable activity units.</w:t>
      </w:r>
    </w:p>
    <w:p>
      <w:pPr>
        <w:pStyle w:val="Heading1"/>
        <w:keepNext/>
      </w:pPr>
      <w:r>
        <w:t>Pricing architecture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800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Pricing element</w:t>
            </w:r>
          </w:p>
        </w:tc>
        <w:tc>
          <w:tcPr>
            <w:tcW w:type="dxa" w:w="3240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Required specification</w:t>
            </w:r>
          </w:p>
        </w:tc>
        <w:tc>
          <w:tcPr>
            <w:tcW w:type="dxa" w:w="2880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Proposed term or evidence</w:t>
            </w:r>
          </w:p>
        </w:tc>
        <w:tc>
          <w:tcPr>
            <w:tcW w:type="dxa" w:w="273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Gap or negotiation position</w:t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Base fee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Platform, maintenance, standard updates, security, and routine support included.</w:t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EUR 180,000 annually.</w:t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Clarify support hours and response times.</w:t>
            </w:r>
          </w:p>
        </w:tc>
      </w:tr>
      <w:tr>
        <w:tc>
          <w:tcPr>
            <w:tcW w:type="dxa" w:w="1800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Variable unit</w:t>
            </w:r>
          </w:p>
        </w:tc>
        <w:tc>
          <w:tcPr>
            <w:tcW w:type="dxa" w:w="324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Patients, tests, episodes, encounters, sites, or other clinically legible unit.</w:t>
            </w:r>
          </w:p>
        </w:tc>
        <w:tc>
          <w:tcPr>
            <w:tcW w:type="dxa" w:w="288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EUR 2.20 per completed encounter.</w:t>
            </w:r>
          </w:p>
        </w:tc>
        <w:tc>
          <w:tcPr>
            <w:tcW w:type="dxa" w:w="273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Exclude test and failed transactions.</w:t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Volume bands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Low, expected, and high bands with unit-price changes.</w:t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0–60k; 60–100k; &gt;100k encounters.</w:t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Reduce unit price above 100k.</w:t>
            </w:r>
          </w:p>
        </w:tc>
      </w:tr>
      <w:tr>
        <w:tc>
          <w:tcPr>
            <w:tcW w:type="dxa" w:w="1800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Expenditure cap</w:t>
            </w:r>
          </w:p>
        </w:tc>
        <w:tc>
          <w:tcPr>
            <w:tcW w:type="dxa" w:w="324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Annual ceiling, overage rule, and approval authority.</w:t>
            </w:r>
          </w:p>
        </w:tc>
        <w:tc>
          <w:tcPr>
            <w:tcW w:type="dxa" w:w="288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EUR 430,000 all-in cap.</w:t>
            </w:r>
          </w:p>
        </w:tc>
        <w:tc>
          <w:tcPr>
            <w:tcW w:type="dxa" w:w="273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 automatic overage.</w:t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Integration and implementation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Interfaces, data preparation, configuration, validation, and project support.</w:t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EUR 95,000 fixed.</w:t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Tie payment to acceptance milestones.</w:t>
            </w:r>
          </w:p>
        </w:tc>
      </w:tr>
      <w:tr>
        <w:tc>
          <w:tcPr>
            <w:tcW w:type="dxa" w:w="1800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Training and change support</w:t>
            </w:r>
          </w:p>
        </w:tc>
        <w:tc>
          <w:tcPr>
            <w:tcW w:type="dxa" w:w="324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Initial and refresher training, workflow redesign, and materials.</w:t>
            </w:r>
          </w:p>
        </w:tc>
        <w:tc>
          <w:tcPr>
            <w:tcW w:type="dxa" w:w="288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Included for 500 users.</w:t>
            </w:r>
          </w:p>
        </w:tc>
        <w:tc>
          <w:tcPr>
            <w:tcW w:type="dxa" w:w="273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Price additional sites in advance.</w:t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Monitoring and assurance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Logs, dashboards, performance data, incident support, and audit cooperation.</w:t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EUR 35,000 annually.</w:t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Require exportable monitoring data.</w:t>
            </w:r>
          </w:p>
        </w:tc>
      </w:tr>
      <w:tr>
        <w:tc>
          <w:tcPr>
            <w:tcW w:type="dxa" w:w="1800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Updates and material change</w:t>
            </w:r>
          </w:p>
        </w:tc>
        <w:tc>
          <w:tcPr>
            <w:tcW w:type="dxa" w:w="324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Notice, evidence, revalidation, rollback, and costs.</w:t>
            </w:r>
          </w:p>
        </w:tc>
        <w:tc>
          <w:tcPr>
            <w:tcW w:type="dxa" w:w="288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Routine updates included.</w:t>
            </w:r>
          </w:p>
        </w:tc>
        <w:tc>
          <w:tcPr>
            <w:tcW w:type="dxa" w:w="273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Material changes require approval and fixed price.</w:t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Escalation and indexation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Index, cap, notice period, and prohibited unilateral change.</w:t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CPI capped at 3%.</w:t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 new module fee without amendment.</w:t>
            </w:r>
          </w:p>
        </w:tc>
      </w:tr>
      <w:tr>
        <w:tc>
          <w:tcPr>
            <w:tcW w:type="dxa" w:w="1800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Exit and continuity</w:t>
            </w:r>
          </w:p>
        </w:tc>
        <w:tc>
          <w:tcPr>
            <w:tcW w:type="dxa" w:w="324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Data export, transition, deletion, archive, fallback, and assistance.</w:t>
            </w:r>
          </w:p>
        </w:tc>
        <w:tc>
          <w:tcPr>
            <w:tcW w:type="dxa" w:w="288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90 days included.</w:t>
            </w:r>
          </w:p>
        </w:tc>
        <w:tc>
          <w:tcPr>
            <w:tcW w:type="dxa" w:w="273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Add source-format export and continuity test.</w:t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Renewal condition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Locally verified value, safety, equity, auditability, and monitoring capacity.</w:t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Annual conditional renewal.</w:t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Define minimum value and risk thresholds.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Price-volume scenarios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>
        <w:trPr>
          <w:tblHeader w:val="true"/>
        </w:trPr>
        <w:tc>
          <w:tcPr>
            <w:tcW w:type="dxa" w:w="1152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1224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Eligible volume</w:t>
            </w:r>
          </w:p>
        </w:tc>
        <w:tc>
          <w:tcPr>
            <w:tcW w:type="dxa" w:w="93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Adoption</w:t>
            </w:r>
          </w:p>
        </w:tc>
        <w:tc>
          <w:tcPr>
            <w:tcW w:type="dxa" w:w="1224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Used volume</w:t>
            </w:r>
          </w:p>
        </w:tc>
        <w:tc>
          <w:tcPr>
            <w:tcW w:type="dxa" w:w="1224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Base fee</w:t>
            </w:r>
          </w:p>
        </w:tc>
        <w:tc>
          <w:tcPr>
            <w:tcW w:type="dxa" w:w="129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Variable fee</w:t>
            </w:r>
          </w:p>
        </w:tc>
        <w:tc>
          <w:tcPr>
            <w:tcW w:type="dxa" w:w="16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Integration/support</w:t>
            </w:r>
          </w:p>
        </w:tc>
        <w:tc>
          <w:tcPr>
            <w:tcW w:type="dxa" w:w="1224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Monitoring</w:t>
            </w:r>
          </w:p>
        </w:tc>
        <w:tc>
          <w:tcPr>
            <w:tcW w:type="dxa" w:w="1584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Total exposure</w:t>
            </w:r>
          </w:p>
        </w:tc>
      </w:tr>
      <w:tr>
        <w:tc>
          <w:tcPr>
            <w:tcW w:type="dxa" w:w="1152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Low</w:t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60,000</w:t>
            </w:r>
          </w:p>
        </w:tc>
        <w:tc>
          <w:tcPr>
            <w:tcW w:type="dxa" w:w="9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50%</w:t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30,000</w:t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180,000</w:t>
            </w:r>
          </w:p>
        </w:tc>
        <w:tc>
          <w:tcPr>
            <w:tcW w:type="dxa" w:w="129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66,000</w:t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95,000</w:t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35,000</w:t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376,000</w:t>
            </w:r>
          </w:p>
        </w:tc>
      </w:tr>
      <w:tr>
        <w:tc>
          <w:tcPr>
            <w:tcW w:type="dxa" w:w="1152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Expected</w:t>
            </w:r>
          </w:p>
        </w:tc>
        <w:tc>
          <w:tcPr>
            <w:tcW w:type="dxa" w:w="122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90,000</w:t>
            </w:r>
          </w:p>
        </w:tc>
        <w:tc>
          <w:tcPr>
            <w:tcW w:type="dxa" w:w="93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75%</w:t>
            </w:r>
          </w:p>
        </w:tc>
        <w:tc>
          <w:tcPr>
            <w:tcW w:type="dxa" w:w="122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67,500</w:t>
            </w:r>
          </w:p>
        </w:tc>
        <w:tc>
          <w:tcPr>
            <w:tcW w:type="dxa" w:w="122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180,000</w:t>
            </w:r>
          </w:p>
        </w:tc>
        <w:tc>
          <w:tcPr>
            <w:tcW w:type="dxa" w:w="129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148,500</w:t>
            </w:r>
          </w:p>
        </w:tc>
        <w:tc>
          <w:tcPr>
            <w:tcW w:type="dxa" w:w="16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95,000</w:t>
            </w:r>
          </w:p>
        </w:tc>
        <w:tc>
          <w:tcPr>
            <w:tcW w:type="dxa" w:w="122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35,000</w:t>
            </w:r>
          </w:p>
        </w:tc>
        <w:tc>
          <w:tcPr>
            <w:tcW w:type="dxa" w:w="158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458,500</w:t>
            </w:r>
          </w:p>
        </w:tc>
      </w:tr>
      <w:tr>
        <w:tc>
          <w:tcPr>
            <w:tcW w:type="dxa" w:w="1152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High</w:t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120,000</w:t>
            </w:r>
          </w:p>
        </w:tc>
        <w:tc>
          <w:tcPr>
            <w:tcW w:type="dxa" w:w="9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90%</w:t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108,000</w:t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180,000</w:t>
            </w:r>
          </w:p>
        </w:tc>
        <w:tc>
          <w:tcPr>
            <w:tcW w:type="dxa" w:w="129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237,600</w:t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95,000</w:t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35,000</w:t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547,600 before cap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Procurement implication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2880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7920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Required decision</w:t>
            </w:r>
          </w:p>
        </w:tc>
      </w:tr>
      <w:tr>
        <w:tc>
          <w:tcPr>
            <w:tcW w:type="dxa" w:w="288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Realistic volume modeling</w:t>
            </w:r>
          </w:p>
        </w:tc>
        <w:tc>
          <w:tcPr>
            <w:tcW w:type="dxa" w:w="792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 low, expected, high, delayed-rollout, and stress scenarios.</w:t>
            </w:r>
          </w:p>
        </w:tc>
      </w:tr>
      <w:tr>
        <w:tc>
          <w:tcPr>
            <w:tcW w:type="dxa" w:w="2880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Cost completeness</w:t>
            </w:r>
          </w:p>
        </w:tc>
        <w:tc>
          <w:tcPr>
            <w:tcW w:type="dxa" w:w="792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Make integration, support, validation, monitoring, upgrades, security, and exit explicit.</w:t>
            </w:r>
          </w:p>
        </w:tc>
      </w:tr>
      <w:tr>
        <w:tc>
          <w:tcPr>
            <w:tcW w:type="dxa" w:w="288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Variable exposure</w:t>
            </w:r>
          </w:p>
        </w:tc>
        <w:tc>
          <w:tcPr>
            <w:tcW w:type="dxa" w:w="792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Use bands, ceilings, overage rules, approval, and price-adjustment limits.</w:t>
            </w:r>
          </w:p>
        </w:tc>
      </w:tr>
      <w:tr>
        <w:tc>
          <w:tcPr>
            <w:tcW w:type="dxa" w:w="2880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Renewal</w:t>
            </w:r>
          </w:p>
        </w:tc>
        <w:tc>
          <w:tcPr>
            <w:tcW w:type="dxa" w:w="792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renewal to realized value and acceptable safety, equity, and monitoring performance.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with conditions</w:t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Passed with two conditions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Local subgroup sample remains small</w:t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Clinical safety lead—complete 90-day review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AI Governance Committee; 30 July 2026</w:t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Monthly during pilot; immediate review after material update</w:t>
            </w:r>
          </w:p>
        </w:tc>
      </w:tr>
    </w:tbl>
    <w:p>
      <w:pPr>
        <w:spacing w:after="0"/>
      </w:pPr>
    </w:p>
    <w:sectPr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6B22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0323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B22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7756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6B223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