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303236"/>
        </w:rPr>
        <w:t>AIHE-AF — Evidence, Reporting, and Assurance Crosswalk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pPr>
        <w:jc w:val="centre"/>
      </w:pPr>
      <w:r>
        <w:rPr>
          <w:b/>
          <w:color w:val="303236"/>
        </w:rPr>
        <w:t>Blank institutional template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B — Economic Evaluation, Evidence, and Decision Modeling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9: Problem-First Procurement and Vendor Governance; Chapter 10: Governance, Accountability, and Institutional Risk; Chapter 12: Decision Architecture and Lifecycle Governance; Chapter 11: Evidence, Validation, and Real-World Evaluation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03: 03_Evidence_Validation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V1.0 | aligned to the twelve-chapter reference edition and Resource Sets A–D</w:t>
            </w:r>
          </w:p>
        </w:tc>
      </w:tr>
    </w:tbl>
    <w:p>
      <w:r>
        <w:rPr>
          <w:b/>
        </w:rPr>
        <w:t xml:space="preserve">Purpose. </w:t>
      </w:r>
      <w:r>
        <w:t>Match evidence and assurance needs to reporting standards, appraisal tools, lifecycle guidance, and management systems.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pPr>
        <w:pStyle w:val="Heading1"/>
        <w:keepNext/>
      </w:pPr>
      <w:r>
        <w:t>How to use this resource</w:t>
      </w:r>
    </w:p>
    <w:p>
      <w:r>
        <w:t>Use standards and external assurance as complementary evidence architecture. Reporting completeness does not guarantee quality, and external assurance does not replace local responsibility.</w:t>
      </w:r>
    </w:p>
    <w:p>
      <w:pPr>
        <w:pStyle w:val="Heading1"/>
        <w:keepNext/>
      </w:pPr>
      <w:r>
        <w:t>Evidence, reporting, and assurance crosswalk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16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or assurance need</w:t>
            </w:r>
          </w:p>
        </w:tc>
        <w:tc>
          <w:tcPr>
            <w:tcW w:type="dxa" w:w="208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Standard or framework</w:t>
            </w:r>
          </w:p>
        </w:tc>
        <w:tc>
          <w:tcPr>
            <w:tcW w:type="dxa" w:w="194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purpose</w:t>
            </w:r>
          </w:p>
        </w:tc>
        <w:tc>
          <w:tcPr>
            <w:tcW w:type="dxa" w:w="338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Institutional use</w:t>
            </w:r>
          </w:p>
        </w:tc>
        <w:tc>
          <w:tcPr>
            <w:tcW w:type="dxa" w:w="180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 / review action</w:t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Prediction model development and validation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Prediction-model risk of bias</w:t>
            </w:r>
          </w:p>
        </w:tc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Diagnostic accuracy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Early live evaluation</w:t>
            </w:r>
          </w:p>
        </w:tc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Trial protocol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Trial report</w:t>
            </w:r>
          </w:p>
        </w:tc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Economic evaluation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Systematic review</w:t>
            </w:r>
          </w:p>
        </w:tc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Trustworthy lifecycle deployment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Continuous external assurance</w:t>
            </w:r>
          </w:p>
        </w:tc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management system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impact assessment</w:t>
            </w:r>
          </w:p>
        </w:tc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16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Risk management</w:t>
            </w:r>
          </w:p>
        </w:tc>
        <w:tc>
          <w:tcPr>
            <w:tcW w:type="dxa" w:w="2088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3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Continuing-assurance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80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446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evidence</w:t>
            </w:r>
          </w:p>
        </w:tc>
        <w:tc>
          <w:tcPr>
            <w:tcW w:type="dxa" w:w="216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Responsible forum</w:t>
            </w:r>
          </w:p>
        </w:tc>
        <w:tc>
          <w:tcPr>
            <w:tcW w:type="dxa" w:w="230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 output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Before procurement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Before live pilot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After deployment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16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30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0"/>
      </w:pPr>
    </w:p>
    <w:sectPr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23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6B223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