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III — Economic Evaluation, Decision Modelling, and Procurement</w:t>
      </w:r>
    </w:p>
    <w:p>
      <w:pPr>
        <w:pStyle w:val="Heading1"/>
      </w:pPr>
      <w:r>
        <w:t>AIHE-D01 — Vendor Evidence and Contract Requirements</w:t>
      </w:r>
    </w:p>
    <w:p>
      <w:pPr>
        <w:spacing w:after="80"/>
      </w:pPr>
      <w:r>
        <w:rPr>
          <w:color w:val="877567"/>
          <w:sz w:val="20"/>
        </w:rPr>
        <w:t>Chapter 9: Problem-First Procurement and Vendor Governance</w:t>
      </w:r>
    </w:p>
    <w:p>
      <w:r>
        <w:t>Translate evidence, interoperability, data, security, monitoring, update, service, remedy, portability, and exit requirements into contract terms.</w:t>
      </w:r>
    </w:p>
    <w:p>
      <w:r>
        <w:rPr>
          <w:rFonts w:ascii="Aptos" w:hAnsi="Aptos"/>
          <w:sz w:val="17"/>
        </w:rPr>
        <w:t>Resource: AIHE-D01  |  V1.0  |  Aligned chapters: 6, 9, 10, 12</w:t>
      </w:r>
    </w:p>
    <w:p>
      <w:r>
        <w:t>Apply mandatory eligibility requirements before comparative scoring. Include continuing supplier disclosure, maintenance and support end dates, audit rights, material-change control, portability, continuity, and a credible exit route (book §§9.3–9.7).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tblHeader/>
          <w:cantSplit/>
        </w:trPr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Evidence or clause requested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Independent and local verification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Risk if absent or incorrect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Remedy and exit position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Owner and status</w:t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Exact supplier, product, model, configuration, intended and excluded use, population, and version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Clinical, technical, human-factors, implementation, and economic evidence</w:t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Upstream model, cloud, data, component, subprocessor, and infrastructure dependencies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Interoperability, data quality, provenance, access, export, and portability</w:t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Privacy, cybersecurity, resilience, continuity, incidents, and recovery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Pricing units, volume exposure, integration, support, escalation, and auditability</w:t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Continuing disclosure, change notification, validation, approval, rollback, and release control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Monitoring data, logs, evidence access, audit rights, and assurance cooperation</w:t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Service levels, downtime, fallback, support, remedies, liability, renewal, termination, and exit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III — Economic Evaluation, Decision Modelling, and Procurement</w:t>
      </w:r>
    </w:p>
    <w:p>
      <w:pPr>
        <w:pStyle w:val="Heading1"/>
      </w:pPr>
      <w:r>
        <w:t>AIHE-D01 — Vendor Evidence and Contract Requirements</w:t>
      </w:r>
    </w:p>
    <w:p>
      <w:pPr>
        <w:spacing w:after="80"/>
      </w:pPr>
      <w:r>
        <w:rPr>
          <w:color w:val="877567"/>
          <w:sz w:val="20"/>
        </w:rPr>
        <w:t>Chapter 9: Problem-First Procurement and Vendor Governance</w:t>
      </w:r>
    </w:p>
    <w:p>
      <w:r>
        <w:t>Translate evidence, interoperability, data, security, monitoring, update, service, remedy, portability, and exit requirements into contract terms.</w:t>
      </w:r>
    </w:p>
    <w:p>
      <w:r>
        <w:rPr>
          <w:rFonts w:ascii="Aptos" w:hAnsi="Aptos"/>
          <w:sz w:val="17"/>
        </w:rPr>
        <w:t>Resource: AIHE-D01  |  V1.0  |  Aligned chapters: 6, 9, 10, 12</w:t>
      </w:r>
    </w:p>
    <w:p>
      <w:r>
        <w:t>Apply mandatory eligibility requirements before comparative scoring. Include continuing supplier disclosure, maintenance and support end dates, audit rights, material-change control, portability, continuity, and a credible exit route (book §§9.3–9.7).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tblHeader/>
          <w:cantSplit/>
        </w:trPr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Evidence or clause requested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Independent and local verification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Risk if absent or incorrect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Remedy and exit position</w:t>
            </w:r>
          </w:p>
        </w:tc>
        <w:tc>
          <w:tcPr>
            <w:tcW w:type="dxa" w:w="232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Owner and status</w:t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Exact supplier, product, model, configuration, intended and excluded use, population, and version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Clinical, technical, human-factors, implementation, and economic evidence</w:t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Upstream model, cloud, data, component, subprocessor, and infrastructure dependencies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Interoperability, data quality, provenance, access, export, and portability</w:t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Privacy, cybersecurity, resilience, continuity, incidents, and recovery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Pricing units, volume exposure, integration, support, escalation, and auditability</w:t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Continuing disclosure, change notification, validation, approval, rollback, and release control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Monitoring data, logs, evidence access, audit rights, and assurance cooperation</w:t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Service levels, downtime, fallback, support, remedies, liability, renewal, termination, and exit</w:t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  <w:tc>
          <w:tcPr>
            <w:tcW w:type="dxa" w:w="232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