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AIHE-AB — Privacy and Cybersecurity Risk Register</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AIHE-AB</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Risk</w:t>
            </w:r>
          </w:p>
        </w:tc>
        <w:tc>
          <w:tcPr>
            <w:tcW w:type="dxa" w:w="2328"/>
            <w:vAlign w:val="centre"/>
            <w:tcMar>
              <w:top w:w="80" w:type="dxa"/>
              <w:start w:w="80" w:type="dxa"/>
              <w:bottom w:w="80" w:type="dxa"/>
              <w:end w:w="80" w:type="dxa"/>
            </w:tcMar>
            <w:shd w:fill="F5F0E7"/>
          </w:tcPr>
          <w:p>
            <w:r>
              <w:rPr>
                <w:b/>
              </w:rPr>
              <w:t>Likelihood</w:t>
            </w:r>
          </w:p>
        </w:tc>
        <w:tc>
          <w:tcPr>
            <w:tcW w:type="dxa" w:w="2328"/>
            <w:vAlign w:val="centre"/>
            <w:tcMar>
              <w:top w:w="80" w:type="dxa"/>
              <w:start w:w="80" w:type="dxa"/>
              <w:bottom w:w="80" w:type="dxa"/>
              <w:end w:w="80" w:type="dxa"/>
            </w:tcMar>
            <w:shd w:fill="F5F0E7"/>
          </w:tcPr>
          <w:p>
            <w:r>
              <w:rPr>
                <w:b/>
              </w:rPr>
              <w:t>Impact</w:t>
            </w:r>
          </w:p>
        </w:tc>
        <w:tc>
          <w:tcPr>
            <w:tcW w:type="dxa" w:w="2328"/>
            <w:vAlign w:val="centre"/>
            <w:tcMar>
              <w:top w:w="80" w:type="dxa"/>
              <w:start w:w="80" w:type="dxa"/>
              <w:bottom w:w="80" w:type="dxa"/>
              <w:end w:w="80" w:type="dxa"/>
            </w:tcMar>
            <w:shd w:fill="F5F0E7"/>
          </w:tcPr>
          <w:p>
            <w:r>
              <w:rPr>
                <w:b/>
              </w:rPr>
              <w:t>Mitigation</w:t>
            </w:r>
          </w:p>
        </w:tc>
        <w:tc>
          <w:tcPr>
            <w:tcW w:type="dxa" w:w="2328"/>
            <w:vAlign w:val="centre"/>
            <w:tcMar>
              <w:top w:w="80" w:type="dxa"/>
              <w:start w:w="80" w:type="dxa"/>
              <w:bottom w:w="80" w:type="dxa"/>
              <w:end w:w="80" w:type="dxa"/>
            </w:tcMar>
            <w:shd w:fill="F5F0E7"/>
          </w:tcPr>
          <w:p>
            <w:r>
              <w:rPr>
                <w:b/>
              </w:rPr>
              <w:t>Owner</w:t>
            </w:r>
          </w:p>
        </w:tc>
        <w:tc>
          <w:tcPr>
            <w:tcW w:type="dxa" w:w="2328"/>
            <w:vAlign w:val="centre"/>
            <w:tcMar>
              <w:top w:w="80" w:type="dxa"/>
              <w:start w:w="80" w:type="dxa"/>
              <w:bottom w:w="80" w:type="dxa"/>
              <w:end w:w="80" w:type="dxa"/>
            </w:tcMar>
            <w:shd w:fill="F5F0E7"/>
          </w:tcPr>
          <w:p>
            <w:r>
              <w:rPr>
                <w:b/>
              </w:rPr>
              <w:t>Review date</w:t>
            </w:r>
          </w:p>
        </w:tc>
      </w:tr>
      <w:tr>
        <w:tc>
          <w:tcPr>
            <w:tcW w:type="dxa" w:w="2328"/>
            <w:vAlign w:val="centre"/>
            <w:tcMar>
              <w:top w:w="80" w:type="dxa"/>
              <w:start w:w="80" w:type="dxa"/>
              <w:bottom w:w="80" w:type="dxa"/>
              <w:end w:w="80" w:type="dxa"/>
            </w:tcMar>
          </w:tcPr>
          <w:p>
            <w:r>
              <w:t>Unauthorized data access</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Vendor or supply-chain breach</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Ransomware or service downtime</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Unsafe model or prompt manipulation</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Weak access control or audit logging</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Insecure update or API</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Unsafe manual fallback</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r>
        <w:tc>
          <w:tcPr>
            <w:tcW w:type="dxa" w:w="2328"/>
            <w:vAlign w:val="centre"/>
            <w:tcMar>
              <w:top w:w="80" w:type="dxa"/>
              <w:start w:w="80" w:type="dxa"/>
              <w:bottom w:w="80" w:type="dxa"/>
              <w:end w:w="80" w:type="dxa"/>
            </w:tcMar>
          </w:tcPr>
          <w:p>
            <w:r>
              <w:t>Unclear incident escalation</w:t>
            </w:r>
          </w:p>
        </w:tc>
        <w:tc>
          <w:tcPr>
            <w:tcW w:type="dxa" w:w="2328"/>
            <w:vAlign w:val="centre"/>
            <w:tcMar>
              <w:top w:w="80" w:type="dxa"/>
              <w:start w:w="80" w:type="dxa"/>
              <w:bottom w:w="80" w:type="dxa"/>
              <w:end w:w="80" w:type="dxa"/>
            </w:tcMar>
          </w:tcPr>
          <w:p>
            <w:r>
              <w:t>Medium</w:t>
            </w:r>
          </w:p>
        </w:tc>
        <w:tc>
          <w:tcPr>
            <w:tcW w:type="dxa" w:w="2328"/>
            <w:vAlign w:val="centre"/>
            <w:tcMar>
              <w:top w:w="80" w:type="dxa"/>
              <w:start w:w="80" w:type="dxa"/>
              <w:bottom w:w="80" w:type="dxa"/>
              <w:end w:w="80" w:type="dxa"/>
            </w:tcMar>
          </w:tcPr>
          <w:p>
            <w:r>
              <w:t>High</w:t>
            </w:r>
          </w:p>
        </w:tc>
        <w:tc>
          <w:tcPr>
            <w:tcW w:type="dxa" w:w="2328"/>
            <w:vAlign w:val="centre"/>
            <w:tcMar>
              <w:top w:w="80" w:type="dxa"/>
              <w:start w:w="80" w:type="dxa"/>
              <w:bottom w:w="80" w:type="dxa"/>
              <w:end w:w="80" w:type="dxa"/>
            </w:tcMar>
          </w:tcPr>
          <w:p>
            <w:r>
              <w:t>Role-based access, monitoring, incident response, contractual controls, tested fallback, and review.</w:t>
            </w:r>
          </w:p>
        </w:tc>
        <w:tc>
          <w:tcPr>
            <w:tcW w:type="dxa" w:w="2328"/>
            <w:vAlign w:val="centre"/>
            <w:tcMar>
              <w:top w:w="80" w:type="dxa"/>
              <w:start w:w="80" w:type="dxa"/>
              <w:bottom w:w="80" w:type="dxa"/>
              <w:end w:w="80" w:type="dxa"/>
            </w:tcMar>
          </w:tcPr>
          <w:p>
            <w:r>
              <w:t>Privacy and security lead</w:t>
            </w:r>
          </w:p>
        </w:tc>
        <w:tc>
          <w:tcPr>
            <w:tcW w:type="dxa" w:w="2328"/>
            <w:vAlign w:val="centre"/>
            <w:tcMar>
              <w:top w:w="80" w:type="dxa"/>
              <w:start w:w="80" w:type="dxa"/>
              <w:bottom w:w="80" w:type="dxa"/>
              <w:end w:w="80" w:type="dxa"/>
            </w:tcMar>
          </w:tcPr>
          <w:p>
            <w:r>
              <w:t>2026-10-01</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