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AIHE-EX13 — Public Transparency and Communication Notice</w:t>
      </w:r>
    </w:p>
    <w:p>
      <w:r>
        <w:rPr>
          <w:rFonts w:ascii="Arial" w:hAnsi="Arial"/>
          <w:color w:val="595959"/>
          <w:sz w:val="17"/>
        </w:rPr>
        <w:t>Current digital location: Resource Set C — Quality, Accreditation, Governance, and Accountability.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Ethics Privacy Cybersecurity Equity and Trust</w:t>
      </w:r>
    </w:p>
    <w:p>
      <w:r>
        <w:t>Purpose: Prepare a plain-language notice explaining the AI use, human oversight, data use, safeguards, and patient/public contact route.</w:t>
      </w:r>
    </w:p>
    <w:p>
      <w:r>
        <w:t>Expected output: Draft patient/public transparency notice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Plain-language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This tool helps staff identify patients who may need extra discharge 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Information already in the health record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Who decides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 clinician reviews the output before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Ask questions through patient relations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The tool does not replace clinical judgement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 reviewed across groups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 route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ai-governance@example.org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Annual or after material change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