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t>Diagnostic and Predictive Evidence Appraisal Checklist</w:t>
      </w:r>
    </w:p>
    <w:p>
      <w:pPr>
        <w:jc w:val="centre"/>
      </w:pPr>
      <w:r>
        <w:rPr>
          <w:b/>
          <w:color w:val="7A2334"/>
        </w:rPr>
        <w:t>AIHE-RG06</w:t>
      </w:r>
    </w:p>
    <w:p>
      <w:pPr>
        <w:spacing w:after="40"/>
      </w:pPr>
      <w:r>
        <w:rPr>
          <w:b/>
        </w:rPr>
        <w:t xml:space="preserve">Primary chapter: </w:t>
      </w:r>
      <w:r>
        <w:t>11 — Evidence, Validation, and Real-World Evaluation</w:t>
      </w:r>
    </w:p>
    <w:p>
      <w:pPr>
        <w:spacing w:after="40"/>
      </w:pPr>
      <w:r>
        <w:rPr>
          <w:b/>
        </w:rPr>
        <w:t xml:space="preserve">Additional chapter alignment: </w:t>
      </w:r>
      <w:r>
        <w:t>3, 7, 8, 11</w:t>
      </w:r>
    </w:p>
    <w:p>
      <w:pPr>
        <w:spacing w:after="40"/>
      </w:pPr>
      <w:r>
        <w:rPr>
          <w:b/>
        </w:rPr>
        <w:t xml:space="preserve">Version: </w:t>
      </w:r>
      <w:r>
        <w:t>V1.0</w:t>
      </w:r>
    </w:p>
    <w:p>
      <w:pPr>
        <w:pStyle w:val="Heading1"/>
      </w:pPr>
      <w:r>
        <w:t>Purpose</w:t>
      </w:r>
    </w:p>
    <w:p>
      <w:r>
        <w:t>Appraise reference standards, index tests, data partitions, calibration, diagnostic accuracy, bias, subgroup performance, clinical utility, and downstream resource consequences.</w:t>
      </w:r>
    </w:p>
    <w:p>
      <w:pPr>
        <w:pStyle w:val="Heading1"/>
      </w:pPr>
      <w:r>
        <w:t>Instructions</w:t>
      </w:r>
    </w:p>
    <w:p>
      <w:pPr>
        <w:pStyle w:val="ListBullet"/>
      </w:pPr>
      <w:r>
        <w:t>Define the decision question before selecting an instrument or framework.</w:t>
      </w:r>
    </w:p>
    <w:p>
      <w:pPr>
        <w:pStyle w:val="ListBullet"/>
      </w:pPr>
      <w:r>
        <w:t>Verify the exact edition, pub date, jurisdiction, scope, and status of external sources.</w:t>
      </w:r>
    </w:p>
    <w:p>
      <w:pPr>
        <w:pStyle w:val="ListBullet"/>
      </w:pPr>
      <w:r>
        <w:t>Record local evidence, judgement, ownership, gaps, and the resulting decision.</w:t>
      </w:r>
    </w:p>
    <w:p>
      <w:pPr>
        <w:pStyle w:val="ListBullet"/>
      </w:pPr>
      <w:r>
        <w:t>Review and update the record when law, standards, policy, evidence, or institutional context changes.</w:t>
      </w:r>
    </w:p>
    <w:p>
      <w:pPr>
        <w:pStyle w:val="Heading1"/>
      </w:pPr>
      <w:r>
        <w:t>Editable register or checklist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rPr>
          <w:tblHeader w:val="true"/>
        </w:trPr>
        <w:tc>
          <w:tcPr>
            <w:tcW w:type="dxa" w:w="1906"/>
            <w:shd w:fill="7A2334"/>
          </w:tcPr>
          <w:p>
            <w:r>
              <w:rPr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1906"/>
            <w:shd w:fill="7A2334"/>
          </w:tcPr>
          <w:p>
            <w:r>
              <w:rPr>
                <w:b/>
                <w:color w:val="FFFFFF"/>
                <w:sz w:val="15"/>
              </w:rPr>
              <w:t>Appraisal question</w:t>
            </w:r>
          </w:p>
        </w:tc>
        <w:tc>
          <w:tcPr>
            <w:tcW w:type="dxa" w:w="1906"/>
            <w:shd w:fill="7A2334"/>
          </w:tcPr>
          <w:p>
            <w:r>
              <w:rPr>
                <w:b/>
                <w:color w:val="FFFFFF"/>
                <w:sz w:val="15"/>
              </w:rPr>
              <w:t>Evidence reviewed</w:t>
            </w:r>
          </w:p>
        </w:tc>
        <w:tc>
          <w:tcPr>
            <w:tcW w:type="dxa" w:w="1906"/>
            <w:shd w:fill="7A2334"/>
          </w:tcPr>
          <w:p>
            <w:r>
              <w:rPr>
                <w:b/>
                <w:color w:val="FFFFFF"/>
                <w:sz w:val="15"/>
              </w:rPr>
              <w:t>Judgement</w:t>
            </w:r>
          </w:p>
        </w:tc>
        <w:tc>
          <w:tcPr>
            <w:tcW w:type="dxa" w:w="1906"/>
            <w:shd w:fill="7A2334"/>
          </w:tcPr>
          <w:p>
            <w:r>
              <w:rPr>
                <w:b/>
                <w:color w:val="FFFFFF"/>
                <w:sz w:val="15"/>
              </w:rPr>
              <w:t>Material uncertainty</w:t>
            </w:r>
          </w:p>
        </w:tc>
        <w:tc>
          <w:tcPr>
            <w:tcW w:type="dxa" w:w="1906"/>
            <w:shd w:fill="7A2334"/>
          </w:tcPr>
          <w:p>
            <w:r>
              <w:rPr>
                <w:b/>
                <w:color w:val="FFFFFF"/>
                <w:sz w:val="15"/>
              </w:rPr>
              <w:t>Required local evidence or safeguard</w:t>
            </w:r>
          </w:p>
        </w:tc>
        <w:tc>
          <w:tcPr>
            <w:tcW w:type="dxa" w:w="1906"/>
            <w:shd w:fill="7A2334"/>
          </w:tcPr>
          <w:p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906"/>
            <w:shd w:fill="7A2334"/>
          </w:tcPr>
          <w:p>
            <w:r>
              <w:rPr>
                <w:b/>
                <w:color w:val="FFFFFF"/>
                <w:sz w:val="15"/>
              </w:rPr>
              <w:t>Decision consequence</w:t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Intended use and pathway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Is the decision, user, population, timing, action and comparator explicit?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Dataset construction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Are selection, exclusions, missingness, partitions and leakage addressed?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Model or index test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Is the exact version, preprocessing, threshold and output defined?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Reference standard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Is it appropriate, independent, consistent and blinded where feasible?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Are task-appropriate metrics and uncertainty reported?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Calibration and thresholds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Are calibration and threshold-specific consequences evaluated?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Transportability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Does the evidence represent the intended local context?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Subgroups and equity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Are performance, access and consequences assessed across relevant groups?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Human-AI performance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Are acceptance, override, review burden and error correction measured?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Clinical utility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Does the system improve decisions or outcomes versus realistic alternatives?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Economic consequences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Are downstream resource, cost and budget consequences included?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Lifecycle evidence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Are monitoring, drift, update and incident plans credible?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</w:tbl>
    <w:sectPr>
      <w:footerReference w:type="default" r:id="rId9"/>
      <w:headerReference w:type="default" r:id="rId10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6B22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