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color w:val="6B2230"/>
          <w:sz w:val="24"/>
        </w:rPr>
        <w:t>Artificial Intelligence in Healthcare Management and Economics</w:t>
      </w:r>
    </w:p>
    <w:p>
      <w:pPr>
        <w:spacing w:after="80"/>
      </w:pPr>
      <w:r>
        <w:rPr>
          <w:rFonts w:ascii="Aptos" w:hAnsi="Aptos"/>
          <w:color w:val="877567"/>
          <w:sz w:val="18"/>
        </w:rPr>
        <w:t>Part IV — Governance, Evidence, and Lifecycle Decision-Making</w:t>
      </w:r>
    </w:p>
    <w:p>
      <w:pPr>
        <w:pStyle w:val="Heading1"/>
      </w:pPr>
      <w:r>
        <w:t>AIHE-D02 — Lifecycle Decision State, Staged Evidence, and AI-HED Status</w:t>
      </w:r>
    </w:p>
    <w:p>
      <w:pPr>
        <w:spacing w:after="80"/>
      </w:pPr>
      <w:r>
        <w:rPr>
          <w:color w:val="877567"/>
          <w:sz w:val="20"/>
        </w:rPr>
        <w:t>Chapter 12: Decision Architecture and Lifecycle Governance</w:t>
      </w:r>
    </w:p>
    <w:p>
      <w:r>
        <w:t>Record the current institutional decision state, exact intervention identity, scope, evidence, conditions, safeguards, triggers, authority, history, and next review.</w:t>
      </w:r>
    </w:p>
    <w:p>
      <w:r>
        <w:rPr>
          <w:rFonts w:ascii="Aptos" w:hAnsi="Aptos"/>
          <w:sz w:val="17"/>
        </w:rPr>
        <w:t>Resource: AIHE-D02  |  V1.0  |  Aligned chapters: 4, 9, 11, 12</w:t>
      </w:r>
    </w:p>
    <w:p>
      <w:r>
        <w:t>Use the institutional decision states in Table 12.3. A permission state describes what the institution presently permits; silent evaluation, a pilot, and implementation milestones do not themselves constitute authorization. Link every transition to evidence, accountable authority, scope, conditions, and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794"/>
        <w:gridCol w:w="2794"/>
        <w:gridCol w:w="2794"/>
        <w:gridCol w:w="2794"/>
        <w:gridCol w:w="2794"/>
      </w:tblGrid>
      <w:tr>
        <w:trPr>
          <w:tblHeader/>
          <w:cantSplit/>
        </w:trPr>
        <w:tc>
          <w:tcPr>
            <w:tcW w:type="dxa" w:w="279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Decision-provenance element</w:t>
            </w:r>
          </w:p>
        </w:tc>
        <w:tc>
          <w:tcPr>
            <w:tcW w:type="dxa" w:w="279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Required evidence or record</w:t>
            </w:r>
          </w:p>
        </w:tc>
        <w:tc>
          <w:tcPr>
            <w:tcW w:type="dxa" w:w="279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Current status or state</w:t>
            </w:r>
          </w:p>
        </w:tc>
        <w:tc>
          <w:tcPr>
            <w:tcW w:type="dxa" w:w="279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Condition, safeguard, trigger, or unresolved matter</w:t>
            </w:r>
          </w:p>
        </w:tc>
        <w:tc>
          <w:tcPr>
            <w:tcW w:type="dxa" w:w="279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Accountable authority, date, and next review</w:t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 identity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Intervention, supplier, model, configuration, data, workflow, intended use, population, setting, comparator, and version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Current institutional decision state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Under consideration; Evaluation authorized; Conditional use; Authorized use; Restricted use; Paused or suspended; Retired or superseded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Implementation activity (separate from permission)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retrospective testing, silent evaluation, pilot, rollout, or another implementation activity without treating it as the institutional decision state.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Scope and effective date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Authorized population, setting, users, functions, exclusions, start date, and expiry or review point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Evidence basis and cut-off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Version-matched technical, clinical, causal, economic, implementation, governance, quality, and contractual evidence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Mandatory safeguards and conditions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Non-compensatory safety, equity, privacy, cybersecurity, human-oversight, continuity, and legal conditions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Unresolved uncertainty and monitoring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Decision-critical uncertainty, signals, thresholds, owners, review cadence, and evidence-development commitments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Transition and material-change triggers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Incidents, drift, changed data, model, workflow or intended use; supplier notice; price; support; law; capacity; evidence; or comparator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 history and next review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Previous states, reasons for transitions, dissent, conditions, accountable authority, effective date, and next review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p>
      <w:pPr>
        <w:pageBreakBefore/>
        <w:spacing w:after="80"/>
      </w:pPr>
      <w:r>
        <w:rPr>
          <w:rFonts w:ascii="Aptos" w:hAnsi="Aptos"/>
          <w:color w:val="877567"/>
          <w:sz w:val="18"/>
        </w:rPr>
        <w:t>Part IV — Governance, Evidence, and Lifecycle Decision-Making</w:t>
      </w:r>
    </w:p>
    <w:p>
      <w:pPr>
        <w:pStyle w:val="Heading1"/>
      </w:pPr>
      <w:r>
        <w:t>AIHE-D02 — Lifecycle Decision State, Staged Evidence, and AI-HED Status</w:t>
      </w:r>
    </w:p>
    <w:p>
      <w:pPr>
        <w:spacing w:after="80"/>
      </w:pPr>
      <w:r>
        <w:rPr>
          <w:color w:val="877567"/>
          <w:sz w:val="20"/>
        </w:rPr>
        <w:t>Chapter 12: Decision Architecture and Lifecycle Governance</w:t>
      </w:r>
    </w:p>
    <w:p>
      <w:r>
        <w:t>Record the current institutional decision state, exact intervention identity, scope, evidence, conditions, safeguards, triggers, authority, history, and next review.</w:t>
      </w:r>
    </w:p>
    <w:p>
      <w:r>
        <w:rPr>
          <w:rFonts w:ascii="Aptos" w:hAnsi="Aptos"/>
          <w:sz w:val="17"/>
        </w:rPr>
        <w:t>Resource: AIHE-D02  |  V1.0  |  Aligned chapters: 4, 9, 11, 12</w:t>
      </w:r>
    </w:p>
    <w:p>
      <w:r>
        <w:t>Use the institutional decision states in Table 12.3. A permission state describes what the institution presently permits; silent evaluation, a pilot, and implementation milestones do not themselves constitute authorization. Link every transition to evidence, accountable authority, scope, conditions, and date.</w:t>
      </w:r>
    </w:p>
    <w:p>
      <w:pPr>
        <w:pStyle w:val="Heading2"/>
      </w:pPr>
      <w:r>
        <w:t>Synthetic illustration — not empirical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794"/>
        <w:gridCol w:w="2794"/>
        <w:gridCol w:w="2794"/>
        <w:gridCol w:w="2794"/>
        <w:gridCol w:w="2794"/>
      </w:tblGrid>
      <w:tr>
        <w:trPr>
          <w:tblHeader/>
          <w:cantSplit/>
        </w:trPr>
        <w:tc>
          <w:tcPr>
            <w:tcW w:type="dxa" w:w="279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Decision-provenance element</w:t>
            </w:r>
          </w:p>
        </w:tc>
        <w:tc>
          <w:tcPr>
            <w:tcW w:type="dxa" w:w="279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Required evidence or record</w:t>
            </w:r>
          </w:p>
        </w:tc>
        <w:tc>
          <w:tcPr>
            <w:tcW w:type="dxa" w:w="279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Current status or state</w:t>
            </w:r>
          </w:p>
        </w:tc>
        <w:tc>
          <w:tcPr>
            <w:tcW w:type="dxa" w:w="279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Condition, safeguard, trigger, or unresolved matter</w:t>
            </w:r>
          </w:p>
        </w:tc>
        <w:tc>
          <w:tcPr>
            <w:tcW w:type="dxa" w:w="279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Accountable authority, date, and next review</w:t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 identity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Intervention, supplier, model, configuration, data, workflow, intended use, population, setting, comparator, and version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Current institutional decision state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Under consideration; Evaluation authorized; Conditional use; Authorized use; Restricted use; Paused or suspended; Retired or superseded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Conditional use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committee decision; authority and date to be recorded.</w:t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Implementation activity (separate from permission)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retrospective testing, silent evaluation, pilot, rollout, or another implementation activity without treating it as the institutional decision state.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Scope and effective date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Authorized population, setting, users, functions, exclusions, start date, and expiry or review point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Evidence basis and cut-off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Version-matched technical, clinical, causal, economic, implementation, governance, quality, and contractual evidence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Mandatory safeguards and conditions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Non-compensatory safety, equity, privacy, cybersecurity, human-oversight, continuity, and legal conditions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Unresolved uncertainty and monitoring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Decision-critical uncertainty, signals, thresholds, owners, review cadence, and evidence-development commitments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Transition and material-change triggers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Incidents, drift, changed data, model, workflow or intended use; supplier notice; price; support; law; capacity; evidence; or comparator</w:t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 history and next review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Previous states, reasons for transitions, dissent, conditions, accountable authority, effective date, and next review</w:t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sectPr>
      <w:headerReference w:type="default" r:id="rId9"/>
      <w:footerReference w:type="default" r:id="rId10"/>
      <w:pgSz w:w="15840" w:h="12240" w:orient="landscape"/>
      <w:pgMar w:top="936" w:right="936" w:bottom="864" w:left="936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877567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6B22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