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303236"/>
        </w:rPr>
        <w:t>AIHE-AE — AI-HED Completeness and Decision-Quality Review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303236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09: 09_Dossier_Decision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V1.0 | aligned to the twelve-chapter reference edition and Resource Sets A–D</w:t>
            </w:r>
          </w:p>
        </w:tc>
      </w:tr>
    </w:tbl>
    <w:p>
      <w:r>
        <w:rPr>
          <w:b/>
        </w:rPr>
        <w:t xml:space="preserve">Purpose. </w:t>
      </w:r>
      <w:r>
        <w:t>Review dossier completeness, confidence, inconsistencies, mandatory safeguards, decision readiness, and remediation.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This institutional review replaces the former grading-oriented dossier rubric. It tests completeness, internal consistency, confidence, mandatory safeguards, and decision readiness; it is not a student score.</w:t>
      </w:r>
    </w:p>
    <w:p>
      <w:pPr>
        <w:pStyle w:val="Heading1"/>
        <w:keepNext/>
      </w:pPr>
      <w:r>
        <w:t>AI-HED completeness and decision-quality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60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decision-quality requirement</w:t>
            </w:r>
          </w:p>
        </w:tc>
        <w:tc>
          <w:tcPr>
            <w:tcW w:type="dxa" w:w="10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0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Confidence</w:t>
            </w:r>
          </w:p>
        </w:tc>
        <w:tc>
          <w:tcPr>
            <w:tcW w:type="dxa" w:w="230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Critical gap or inconsistency</w:t>
            </w:r>
          </w:p>
        </w:tc>
        <w:tc>
          <w:tcPr>
            <w:tcW w:type="dxa" w:w="223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/ owner / due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problem and comparator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Measurable problem, intended use, excluded use, realistic alternatives, decision rule.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None.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Maintain through change control.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readiness and governance</w:t>
            </w:r>
          </w:p>
        </w:tc>
        <w:tc>
          <w:tcPr>
            <w:tcW w:type="dxa" w:w="36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Sources, fitness, provenance, lawful basis, access, representativeness, continuity.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One terminology map pending.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steward—before pilot.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Evidence and local validation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External appraisal, local performance, calibration, subgroups, human factors, workflow utility.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Rare-event uncertainty remains.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Monitor prospectively.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Economic analysis</w:t>
            </w:r>
          </w:p>
        </w:tc>
        <w:tc>
          <w:tcPr>
            <w:tcW w:type="dxa" w:w="36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TCAIO, benefit mechanism, BIA, CEA/NMB where relevant, uncertainty, distribution, opportunity cost.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Savings depend on adoption.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Service owner—90-day review.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Ethics, equity, privacy, security, trust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Rights, safeguards, residual risk, human alternative, accessibility, incident response.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 notice requires usability test.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 relations—30 days.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Procurement and contract</w:t>
            </w:r>
          </w:p>
        </w:tc>
        <w:tc>
          <w:tcPr>
            <w:tcW w:type="dxa" w:w="36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Evidence, audit, updates, pricing, service levels, data rights, exit, liability, assurance.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None.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at signature.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Implementation and workforce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Stage plan, workflow, training, competency, capacity, adoption, change support.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Night-shift training not complete.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educator—before launch.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lifecycle</w:t>
            </w:r>
          </w:p>
        </w:tc>
        <w:tc>
          <w:tcPr>
            <w:tcW w:type="dxa" w:w="36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Cadence, metrics, thresholds, incidents, material change, renewal, de-adoption.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None.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pilot review.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record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Recommendation, conditions, owners, dissent, authority, review date, trigger events.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None.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Archive signed record.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Mandatory safeguards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02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Safeguard</w:t>
            </w:r>
          </w:p>
        </w:tc>
        <w:tc>
          <w:tcPr>
            <w:tcW w:type="dxa" w:w="223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Pass / conditional / fail</w:t>
            </w:r>
          </w:p>
        </w:tc>
        <w:tc>
          <w:tcPr>
            <w:tcW w:type="dxa" w:w="554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and residual risk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Patient safety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55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review and fallback tested.</w:t>
            </w:r>
          </w:p>
        </w:tc>
      </w:tr>
      <w:tr>
        <w:tc>
          <w:tcPr>
            <w:tcW w:type="dxa" w:w="302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Lawful and proportionate data use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55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Final access approval pending.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 and cybersecurity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55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Security testing complete; residual vendor risk accepted.</w:t>
            </w:r>
          </w:p>
        </w:tc>
      </w:tr>
      <w:tr>
        <w:tc>
          <w:tcPr>
            <w:tcW w:type="dxa" w:w="302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 and non-discrimination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55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Prospective subgroup monitoring required.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oversight and accountability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55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owner, escalation, override, and pause authority.</w:t>
            </w:r>
          </w:p>
        </w:tc>
      </w:tr>
      <w:tr>
        <w:tc>
          <w:tcPr>
            <w:tcW w:type="dxa" w:w="302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ability to stop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55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Thresholds, rollback, and de-adoption plan tested.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2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6B223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