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Aptos" w:hAnsi="Aptos"/>
          <w:color w:val="6B2230"/>
          <w:sz w:val="24"/>
        </w:rPr>
        <w:t>Artificial Intelligence in Healthcare Management and Economics</w:t>
      </w:r>
    </w:p>
    <w:p>
      <w:pPr>
        <w:spacing w:after="80"/>
      </w:pPr>
      <w:r>
        <w:rPr>
          <w:rFonts w:ascii="Aptos" w:hAnsi="Aptos"/>
          <w:color w:val="877567"/>
          <w:sz w:val="18"/>
        </w:rPr>
        <w:t>Part IV — Governance, Evidence, and Lifecycle Decision-Making</w:t>
      </w:r>
    </w:p>
    <w:p>
      <w:pPr>
        <w:pStyle w:val="Heading1"/>
      </w:pPr>
      <w:r>
        <w:t>AIHE-D04 — Incident Classification and Reconstruction</w:t>
      </w:r>
    </w:p>
    <w:p>
      <w:pPr>
        <w:spacing w:after="80"/>
      </w:pPr>
      <w:r>
        <w:rPr>
          <w:color w:val="877567"/>
          <w:sz w:val="20"/>
        </w:rPr>
        <w:t>Chapter 12: Decision Architecture and Lifecycle Governance</w:t>
      </w:r>
    </w:p>
    <w:p>
      <w:r>
        <w:t>Reconstruct technical, clinical, workflow, privacy, cybersecurity, equity, communication, and economic incidents consistently.</w:t>
      </w:r>
    </w:p>
    <w:p>
      <w:r>
        <w:rPr>
          <w:rFonts w:ascii="Aptos" w:hAnsi="Aptos"/>
          <w:sz w:val="17"/>
        </w:rPr>
        <w:t>Resource: AIHE-D04  |  V1.0  |  Aligned chapters: 5, 10, 11, 12</w:t>
      </w:r>
    </w:p>
    <w:p>
      <w:r>
        <w:t>Complete the record with the people who own the evidence, workflow, budget, safeguards, and follow-up action. Distinguish documented evidence from assumptions and planned evidence collection. Record the exact intervention and version, accountable owner, decision conditions, evidence cut-off, review date, and trigger events.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0C2"/>
          <w:left w:val="single" w:sz="4" w:color="D9D0C2"/>
          <w:bottom w:val="single" w:sz="4" w:color="D9D0C2"/>
          <w:right w:val="single" w:sz="4" w:color="D9D0C2"/>
          <w:insideH w:val="single" w:sz="4" w:color="D9D0C2"/>
          <w:insideV w:val="single" w:sz="4" w:color="D9D0C2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175"/>
        <w:gridCol w:w="6349"/>
        <w:gridCol w:w="4444"/>
      </w:tblGrid>
      <w:tr>
        <w:trPr>
          <w:tblHeader/>
          <w:cantSplit/>
        </w:trPr>
        <w:tc>
          <w:tcPr>
            <w:tcW w:type="dxa" w:w="3175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49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8"/>
              </w:rPr>
              <w:t>Guidance</w:t>
            </w:r>
          </w:p>
        </w:tc>
        <w:tc>
          <w:tcPr>
            <w:tcW w:type="dxa" w:w="4444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8"/>
              </w:rPr>
              <w:t>Institutional response</w:t>
            </w:r>
          </w:p>
        </w:tc>
      </w:tr>
      <w:tr>
        <w:trPr>
          <w:cantSplit/>
        </w:trPr>
        <w:tc>
          <w:tcPr>
            <w:tcW w:type="dxa" w:w="3175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Event, detection, and category</w:t>
            </w:r>
          </w:p>
        </w:tc>
        <w:tc>
          <w:tcPr>
            <w:tcW w:type="dxa" w:w="6349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Describe the event or pattern, who detected it, and how it was classified.</w:t>
            </w:r>
          </w:p>
        </w:tc>
        <w:tc>
          <w:tcPr>
            <w:tcW w:type="dxa" w:w="444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Data and provenance</w:t>
            </w:r>
          </w:p>
        </w:tc>
        <w:tc>
          <w:tcPr>
            <w:tcW w:type="dxa" w:w="6349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Preserve available data, source, timestamp, transformation, missingness, quality state, and recent source changes.</w:t>
            </w:r>
          </w:p>
        </w:tc>
        <w:tc>
          <w:tcPr>
            <w:tcW w:type="dxa" w:w="444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  <w:tr>
        <w:trPr>
          <w:cantSplit/>
        </w:trPr>
        <w:tc>
          <w:tcPr>
            <w:tcW w:type="dxa" w:w="3175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System and configuration</w:t>
            </w:r>
          </w:p>
        </w:tc>
        <w:tc>
          <w:tcPr>
            <w:tcW w:type="dxa" w:w="6349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Record model, software, threshold, interface, prompt, template, retrieval, knowledge source, and hosting versions.</w:t>
            </w:r>
          </w:p>
        </w:tc>
        <w:tc>
          <w:tcPr>
            <w:tcW w:type="dxa" w:w="444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AI output and uncertainty</w:t>
            </w:r>
          </w:p>
        </w:tc>
        <w:tc>
          <w:tcPr>
            <w:tcW w:type="dxa" w:w="6349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Preserve score, classification, recommendation, generated content, alert, action, explanation, and uncertainty.</w:t>
            </w:r>
          </w:p>
        </w:tc>
        <w:tc>
          <w:tcPr>
            <w:tcW w:type="dxa" w:w="444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  <w:tr>
        <w:trPr>
          <w:cantSplit/>
        </w:trPr>
        <w:tc>
          <w:tcPr>
            <w:tcW w:type="dxa" w:w="3175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Human action and decision context</w:t>
            </w:r>
          </w:p>
        </w:tc>
        <w:tc>
          <w:tcPr>
            <w:tcW w:type="dxa" w:w="6349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Record recipient, information available, accept, reject, modify, ignore, escalation, rationale, workload, staffing, patient condition, and capacity.</w:t>
            </w:r>
          </w:p>
        </w:tc>
        <w:tc>
          <w:tcPr>
            <w:tcW w:type="dxa" w:w="444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Immediate response</w:t>
            </w:r>
          </w:p>
        </w:tc>
        <w:tc>
          <w:tcPr>
            <w:tcW w:type="dxa" w:w="6349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Record patient and service protection, containment, notification, restriction, pause, rollback, and fallback.</w:t>
            </w:r>
          </w:p>
        </w:tc>
        <w:tc>
          <w:tcPr>
            <w:tcW w:type="dxa" w:w="444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  <w:tr>
        <w:trPr>
          <w:cantSplit/>
        </w:trPr>
        <w:tc>
          <w:tcPr>
            <w:tcW w:type="dxa" w:w="3175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Causal analysis and residual uncertainty</w:t>
            </w:r>
          </w:p>
        </w:tc>
        <w:tc>
          <w:tcPr>
            <w:tcW w:type="dxa" w:w="6349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Distinguish confirmed, contributing, and unresolved technical, clinical, workflow, organizational, and governance causes.</w:t>
            </w:r>
          </w:p>
        </w:tc>
        <w:tc>
          <w:tcPr>
            <w:tcW w:type="dxa" w:w="444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Corrective and preventive action</w:t>
            </w:r>
          </w:p>
        </w:tc>
        <w:tc>
          <w:tcPr>
            <w:tcW w:type="dxa" w:w="6349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Record action, owner, deadline, revalidation, communication, vendor or contract response, monitoring change, and effectiveness check.</w:t>
            </w:r>
          </w:p>
        </w:tc>
        <w:tc>
          <w:tcPr>
            <w:tcW w:type="dxa" w:w="444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  <w:tr>
        <w:trPr>
          <w:cantSplit/>
        </w:trPr>
        <w:tc>
          <w:tcPr>
            <w:tcW w:type="dxa" w:w="3175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Closure and learning</w:t>
            </w:r>
          </w:p>
        </w:tc>
        <w:tc>
          <w:tcPr>
            <w:tcW w:type="dxa" w:w="6349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Record closure authority, evidence, affected records and people, residual risk, recurrence prevention, and portfolio implications.</w:t>
            </w:r>
          </w:p>
        </w:tc>
        <w:tc>
          <w:tcPr>
            <w:tcW w:type="dxa" w:w="444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</w:tbl>
    <w:p>
      <w:r>
        <w:rPr>
          <w:rFonts w:ascii="Aptos" w:hAnsi="Aptos"/>
          <w:sz w:val="16"/>
        </w:rPr>
        <w:t>Local record control: owner __________________  evidence cut-off __________  next review __________  local version __________</w:t>
      </w:r>
    </w:p>
    <w:p>
      <w:pPr>
        <w:pageBreakBefore/>
        <w:spacing w:after="80"/>
      </w:pPr>
      <w:r>
        <w:rPr>
          <w:rFonts w:ascii="Aptos" w:hAnsi="Aptos"/>
          <w:color w:val="877567"/>
          <w:sz w:val="18"/>
        </w:rPr>
        <w:t>Part IV — Governance, Evidence, and Lifecycle Decision-Making</w:t>
      </w:r>
    </w:p>
    <w:p>
      <w:pPr>
        <w:pStyle w:val="Heading1"/>
      </w:pPr>
      <w:r>
        <w:t>AIHE-D04 — Incident Classification and Reconstruction</w:t>
      </w:r>
    </w:p>
    <w:p>
      <w:pPr>
        <w:spacing w:after="80"/>
      </w:pPr>
      <w:r>
        <w:rPr>
          <w:color w:val="877567"/>
          <w:sz w:val="20"/>
        </w:rPr>
        <w:t>Chapter 12: Decision Architecture and Lifecycle Governance</w:t>
      </w:r>
    </w:p>
    <w:p>
      <w:r>
        <w:t>Reconstruct technical, clinical, workflow, privacy, cybersecurity, equity, communication, and economic incidents consistently.</w:t>
      </w:r>
    </w:p>
    <w:p>
      <w:r>
        <w:rPr>
          <w:rFonts w:ascii="Aptos" w:hAnsi="Aptos"/>
          <w:sz w:val="17"/>
        </w:rPr>
        <w:t>Resource: AIHE-D04  |  V1.0  |  Aligned chapters: 5, 10, 11, 12</w:t>
      </w:r>
    </w:p>
    <w:p>
      <w:r>
        <w:t>Complete the record with the people who own the evidence, workflow, budget, safeguards, and follow-up action. Distinguish documented evidence from assumptions and planned evidence collection. Record the exact intervention and version, accountable owner, decision conditions, evidence cut-off, review date, and trigger events.</w:t>
      </w:r>
    </w:p>
    <w:p>
      <w:pPr>
        <w:pStyle w:val="Heading2"/>
      </w:pPr>
      <w:r>
        <w:t>Synthetic illustration — not empirical evidence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0C2"/>
          <w:left w:val="single" w:sz="4" w:color="D9D0C2"/>
          <w:bottom w:val="single" w:sz="4" w:color="D9D0C2"/>
          <w:right w:val="single" w:sz="4" w:color="D9D0C2"/>
          <w:insideH w:val="single" w:sz="4" w:color="D9D0C2"/>
          <w:insideV w:val="single" w:sz="4" w:color="D9D0C2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175"/>
        <w:gridCol w:w="6349"/>
        <w:gridCol w:w="4444"/>
      </w:tblGrid>
      <w:tr>
        <w:trPr>
          <w:tblHeader/>
          <w:cantSplit/>
        </w:trPr>
        <w:tc>
          <w:tcPr>
            <w:tcW w:type="dxa" w:w="3175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49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8"/>
              </w:rPr>
              <w:t>Guidance</w:t>
            </w:r>
          </w:p>
        </w:tc>
        <w:tc>
          <w:tcPr>
            <w:tcW w:type="dxa" w:w="4444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8"/>
              </w:rPr>
              <w:t>Institutional response</w:t>
            </w:r>
          </w:p>
        </w:tc>
      </w:tr>
      <w:tr>
        <w:trPr>
          <w:cantSplit/>
        </w:trPr>
        <w:tc>
          <w:tcPr>
            <w:tcW w:type="dxa" w:w="3175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Event, detection, and category</w:t>
            </w:r>
          </w:p>
        </w:tc>
        <w:tc>
          <w:tcPr>
            <w:tcW w:type="dxa" w:w="6349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Describe the event or pattern, who detected it, and how it was classified.</w:t>
            </w:r>
          </w:p>
        </w:tc>
        <w:tc>
          <w:tcPr>
            <w:tcW w:type="dxa" w:w="444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Data and provenance</w:t>
            </w:r>
          </w:p>
        </w:tc>
        <w:tc>
          <w:tcPr>
            <w:tcW w:type="dxa" w:w="6349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Preserve available data, source, timestamp, transformation, missingness, quality state, and recent source changes.</w:t>
            </w:r>
          </w:p>
        </w:tc>
        <w:tc>
          <w:tcPr>
            <w:tcW w:type="dxa" w:w="444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3175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System and configuration</w:t>
            </w:r>
          </w:p>
        </w:tc>
        <w:tc>
          <w:tcPr>
            <w:tcW w:type="dxa" w:w="6349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Record model, software, threshold, interface, prompt, template, retrieval, knowledge source, and hosting versions.</w:t>
            </w:r>
          </w:p>
        </w:tc>
        <w:tc>
          <w:tcPr>
            <w:tcW w:type="dxa" w:w="444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AI output and uncertainty</w:t>
            </w:r>
          </w:p>
        </w:tc>
        <w:tc>
          <w:tcPr>
            <w:tcW w:type="dxa" w:w="6349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Preserve score, classification, recommendation, generated content, alert, action, explanation, and uncertainty.</w:t>
            </w:r>
          </w:p>
        </w:tc>
        <w:tc>
          <w:tcPr>
            <w:tcW w:type="dxa" w:w="444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3175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Human action and decision context</w:t>
            </w:r>
          </w:p>
        </w:tc>
        <w:tc>
          <w:tcPr>
            <w:tcW w:type="dxa" w:w="6349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Record recipient, information available, accept, reject, modify, ignore, escalation, rationale, workload, staffing, patient condition, and capacity.</w:t>
            </w:r>
          </w:p>
        </w:tc>
        <w:tc>
          <w:tcPr>
            <w:tcW w:type="dxa" w:w="444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Immediate response</w:t>
            </w:r>
          </w:p>
        </w:tc>
        <w:tc>
          <w:tcPr>
            <w:tcW w:type="dxa" w:w="6349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Record patient and service protection, containment, notification, restriction, pause, rollback, and fallback.</w:t>
            </w:r>
          </w:p>
        </w:tc>
        <w:tc>
          <w:tcPr>
            <w:tcW w:type="dxa" w:w="444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3175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Causal analysis and residual uncertainty</w:t>
            </w:r>
          </w:p>
        </w:tc>
        <w:tc>
          <w:tcPr>
            <w:tcW w:type="dxa" w:w="6349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Distinguish confirmed, contributing, and unresolved technical, clinical, workflow, organizational, and governance causes.</w:t>
            </w:r>
          </w:p>
        </w:tc>
        <w:tc>
          <w:tcPr>
            <w:tcW w:type="dxa" w:w="444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Corrective and preventive action</w:t>
            </w:r>
          </w:p>
        </w:tc>
        <w:tc>
          <w:tcPr>
            <w:tcW w:type="dxa" w:w="6349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Record action, owner, deadline, revalidation, communication, vendor or contract response, monitoring change, and effectiveness check.</w:t>
            </w:r>
          </w:p>
        </w:tc>
        <w:tc>
          <w:tcPr>
            <w:tcW w:type="dxa" w:w="444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3175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Closure and learning</w:t>
            </w:r>
          </w:p>
        </w:tc>
        <w:tc>
          <w:tcPr>
            <w:tcW w:type="dxa" w:w="6349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Record closure authority, evidence, affected records and people, residual risk, recurrence prevention, and portfolio implications.</w:t>
            </w:r>
          </w:p>
        </w:tc>
        <w:tc>
          <w:tcPr>
            <w:tcW w:type="dxa" w:w="444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</w:tbl>
    <w:p>
      <w:r>
        <w:rPr>
          <w:rFonts w:ascii="Aptos" w:hAnsi="Aptos"/>
          <w:sz w:val="16"/>
        </w:rPr>
        <w:t>Local record control: owner __________________  evidence cut-off __________  next review __________  local version __________</w:t>
      </w:r>
    </w:p>
    <w:sectPr>
      <w:headerReference w:type="default" r:id="rId9"/>
      <w:footerReference w:type="default" r:id="rId10"/>
      <w:pgSz w:w="15840" w:h="12240" w:orient="landscape"/>
      <w:pgMar w:top="936" w:right="936" w:bottom="864" w:left="936" w:header="403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877567"/>
        <w:sz w:val="16"/>
      </w:rPr>
      <w:t xml:space="preserve">Muthana Zouri · Carmen Marinela Cumpăt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B2230"/>
        <w:sz w:val="16"/>
      </w:rPr>
      <w:t>DIGITAL RESOURCE COMPANION ·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6B223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30323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6B223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877567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ptos" w:hAnsi="Aptos"/>
      <w:b/>
      <w:color w:val="6B223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40" w:after="120"/>
    </w:pPr>
    <w:rPr>
      <w:rFonts w:asciiTheme="majorHAnsi" w:eastAsiaTheme="majorEastAsia" w:hAnsiTheme="majorHAnsi" w:cstheme="majorBidi" w:ascii="Aptos" w:hAnsi="Aptos"/>
      <w:b w:val="0"/>
      <w:i/>
      <w:iCs/>
      <w:color w:val="30323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877567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303236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303236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1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77567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77567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77567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77567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77567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77567" w:themeColor="accent1"/>
          <w:insideV w:val="single" w:sz="6" w:space="0" w:color="877567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7756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877567" w:themeColor="accent1"/>
        <w:bottom w:val="single" w:sz="4" w:space="0" w:color="877567" w:themeColor="accent1"/>
        <w:right w:val="single" w:sz="4" w:space="0" w:color="877567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877567"/>
      </w:tcPr>
    </w:tblStylePr>
    <w:tblStylePr w:type="lastCol">
      <w:rPr>
        <w:color w:val="FFFFFF"/>
      </w:rPr>
      <w:tblPr/>
      <w:tcPr>
        <w:shd w:val="clear" w:color="auto" w:fill="87756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032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303236"/>
      </a:dk2>
      <a:lt2>
        <a:srgbClr val="F5F0E7"/>
      </a:lt2>
      <a:accent1>
        <a:srgbClr val="6B2230"/>
      </a:accent1>
      <a:accent2>
        <a:srgbClr val="BDA477"/>
      </a:accent2>
      <a:accent3>
        <a:srgbClr val="877567"/>
      </a:accent3>
      <a:accent4>
        <a:srgbClr val="303236"/>
      </a:accent4>
      <a:accent5>
        <a:srgbClr val="A36570"/>
      </a:accent5>
      <a:accent6>
        <a:srgbClr val="DDD0B7"/>
      </a:accent6>
      <a:hlink>
        <a:srgbClr val="6B2230"/>
      </a:hlink>
      <a:folHlink>
        <a:srgbClr val="877567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Digital Resource Companion</dc:title>
  <dc:subject>Healthcare management, economics, evidence, and lifecycle governance</dc:subject>
  <dc:creator>Muthana Zouri; Carmen Marinela Cumpăt</dc:creator>
  <cp:lastModifiedBy/>
  <cp:revision>1</cp:revision>
</cp:coreProperties>
</file>