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303236"/>
        </w:rPr>
        <w:t>AIHE-EX11 — Material Change and Renewal Review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303236"/>
        </w:rPr>
        <w:t>Blank institutional template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9: Problem-First Procurement and Vendor Governance;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V1.0 | aligned to the twelve-chapter reference edition and Resource Sets A–D</w:t>
            </w:r>
          </w:p>
        </w:tc>
      </w:tr>
    </w:tbl>
    <w:p>
      <w:r>
        <w:rPr>
          <w:b/>
        </w:rPr>
        <w:t xml:space="preserve">Purpose. </w:t>
      </w:r>
      <w:r>
        <w:t>Assess model, data, interface, workflow, vendor, contract, policy, performance, risk, and annual renewal changes.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A material change is any change that may alter intended use, evidence applicability, performance, risk, workflow, economics, obligations, or the ability to monitor and stop. Renewal is an evidence-based lifecycle decision, not an automatic contract event.</w:t>
      </w:r>
    </w:p>
    <w:p>
      <w:pPr>
        <w:pStyle w:val="Heading1"/>
        <w:keepNext/>
      </w:pPr>
      <w:r>
        <w:t>Material-change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rPr>
          <w:tblHeader w:val="true"/>
        </w:trPr>
        <w:tc>
          <w:tcPr>
            <w:tcW w:type="dxa" w:w="201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Change domain</w:t>
            </w:r>
          </w:p>
        </w:tc>
        <w:tc>
          <w:tcPr>
            <w:tcW w:type="dxa" w:w="273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Finding or description</w:t>
            </w:r>
          </w:p>
        </w:tc>
        <w:tc>
          <w:tcPr>
            <w:tcW w:type="dxa" w:w="374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evidence and assessment</w:t>
            </w:r>
          </w:p>
        </w:tc>
        <w:tc>
          <w:tcPr>
            <w:tcW w:type="dxa" w:w="16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/ due</w:t>
            </w:r>
          </w:p>
        </w:tc>
        <w:tc>
          <w:tcPr>
            <w:tcW w:type="dxa" w:w="122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Decision</w:t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Intended or excluded use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Population, site, or users</w:t>
            </w:r>
          </w:p>
        </w:tc>
        <w:tc>
          <w:tcPr>
            <w:tcW w:type="dxa" w:w="27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Model, version, or threshold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Training, retrieval, or reference data</w:t>
            </w:r>
          </w:p>
        </w:tc>
        <w:tc>
          <w:tcPr>
            <w:tcW w:type="dxa" w:w="27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Input, interface, coding, terminology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Workflow, oversight, or capacity</w:t>
            </w:r>
          </w:p>
        </w:tc>
        <w:tc>
          <w:tcPr>
            <w:tcW w:type="dxa" w:w="27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Vendor, subcontractor, hosting, or security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Pricing, support, or service level</w:t>
            </w:r>
          </w:p>
        </w:tc>
        <w:tc>
          <w:tcPr>
            <w:tcW w:type="dxa" w:w="27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Law, standard, or policy</w:t>
            </w:r>
          </w:p>
        </w:tc>
        <w:tc>
          <w:tcPr>
            <w:tcW w:type="dxa" w:w="27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16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Observed performance, equity, safety, or value</w:t>
            </w:r>
          </w:p>
        </w:tc>
        <w:tc>
          <w:tcPr>
            <w:tcW w:type="dxa" w:w="273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74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6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2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Annual renewal review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rPr>
          <w:tblHeader w:val="true"/>
        </w:trPr>
        <w:tc>
          <w:tcPr>
            <w:tcW w:type="dxa" w:w="324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Review element</w:t>
            </w:r>
          </w:p>
        </w:tc>
        <w:tc>
          <w:tcPr>
            <w:tcW w:type="dxa" w:w="7560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record</w:t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Current scope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Accumulated evidence</w:t>
            </w:r>
          </w:p>
        </w:tc>
        <w:tc>
          <w:tcPr>
            <w:tcW w:type="dxa" w:w="75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Realized value and burden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Residual risk</w:t>
            </w:r>
          </w:p>
        </w:tc>
        <w:tc>
          <w:tcPr>
            <w:tcW w:type="dxa" w:w="75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Regulatory and standards alignment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Vendor and contract</w:t>
            </w:r>
          </w:p>
        </w:tc>
        <w:tc>
          <w:tcPr>
            <w:tcW w:type="dxa" w:w="75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Monitoring and fallback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Alternatives and opportunity cost</w:t>
            </w:r>
          </w:p>
        </w:tc>
        <w:tc>
          <w:tcPr>
            <w:tcW w:type="dxa" w:w="75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Renewal decision</w:t>
            </w:r>
          </w:p>
        </w:tc>
        <w:tc>
          <w:tcPr>
            <w:tcW w:type="dxa" w:w="756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240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Authority and next review</w:t>
            </w:r>
          </w:p>
        </w:tc>
        <w:tc>
          <w:tcPr>
            <w:tcW w:type="dxa" w:w="7560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30323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re"/>
            <w:shd w:fill="F5F0E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5F0E7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0323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6B223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