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7B1734"/>
          <w:sz w:val="54"/>
        </w:rPr>
        <w:t>ARTIFICIAL INTELLIGENCE</w:t>
        <w:br/>
        <w:t>AND HEALTHCARE ECONOMICS</w:t>
      </w:r>
    </w:p>
    <w:p>
      <w:pPr>
        <w:jc w:val="center"/>
      </w:pPr>
      <w:r>
        <w:rPr>
          <w:i/>
          <w:color w:val="25272D"/>
          <w:sz w:val="28"/>
        </w:rPr>
        <w:t>Evidence, Value, Governance, and Sustainability</w:t>
      </w:r>
    </w:p>
    <w:p>
      <w:pPr>
        <w:spacing w:before="600"/>
        <w:jc w:val="center"/>
      </w:pPr>
      <w:r>
        <w:rPr>
          <w:rFonts w:ascii="Aptos Display" w:hAnsi="Aptos Display"/>
          <w:b/>
          <w:color w:val="25272D"/>
          <w:sz w:val="62"/>
        </w:rPr>
        <w:t>START HERE</w:t>
      </w:r>
    </w:p>
    <w:p>
      <w:pPr>
        <w:jc w:val="center"/>
      </w:pPr>
      <w:r>
        <w:rPr>
          <w:b/>
          <w:color w:val="C7AA74"/>
          <w:sz w:val="36"/>
        </w:rPr>
        <w:t>Digital Resource Companion V1.0</w:t>
      </w:r>
    </w:p>
    <w:p>
      <w:pPr>
        <w:spacing w:before="1300"/>
        <w:jc w:val="center"/>
      </w:pPr>
      <w:r>
        <w:rPr>
          <w:b/>
          <w:color w:val="7B1734"/>
          <w:sz w:val="24"/>
        </w:rPr>
        <w:t>Muthana Zouri</w:t>
        <w:br/>
        <w:t>Carmen Marinela Cumpăt</w:t>
      </w:r>
    </w:p>
    <w:p>
      <w:pPr>
        <w:jc w:val="center"/>
      </w:pPr>
      <w:r>
        <w:rPr>
          <w:color w:val="25272D"/>
          <w:sz w:val="19"/>
        </w:rPr>
        <w:t>Grigore T. Popa University of Medicine and Pharmacy Publishing House · 2026</w:t>
      </w:r>
    </w:p>
    <w:tbl>
      <w:tblPr>
        <w:tblW w:type="auto" w:w="0"/>
        <w:jc w:val="center"/>
        <w:tblLook w:firstColumn="1" w:firstRow="1" w:lastColumn="0" w:lastRow="0" w:noHBand="0" w:noVBand="1" w:val="04A0"/>
      </w:tblPr>
      <w:tblGrid>
        <w:gridCol w:w="10166"/>
      </w:tblGrid>
      <w:tr>
        <w:tc>
          <w:tcPr>
            <w:tcW w:type="dxa" w:w="10166"/>
            <w:shd w:fill="7B1734"/>
            <w:vAlign w:val="center"/>
            <w:tcMar>
              <w:top w:w="80" w:type="dxa"/>
              <w:start w:w="100" w:type="dxa"/>
              <w:bottom w:w="80" w:type="dxa"/>
              <w:end w:w="100" w:type="dxa"/>
            </w:tcMar>
          </w:tcPr>
          <w:p>
            <w:pPr>
              <w:spacing w:after="0"/>
              <w:jc w:val="center"/>
            </w:pPr>
            <w:r/>
            <w:r>
              <w:rPr>
                <w:rFonts w:ascii="Aptos" w:hAnsi="Aptos"/>
                <w:b/>
                <w:color w:val="FFFFFF"/>
                <w:sz w:val="18"/>
              </w:rPr>
              <w:t>PRACTICAL RECORDS · WORKBOOKS · WORKED EXAMPLES · ANALYTICS · WEB COMPANION</w:t>
            </w:r>
          </w:p>
        </w:tc>
      </w:tr>
    </w:tbl>
    <w:p>
      <w:r>
        <w:br w:type="page"/>
      </w:r>
    </w:p>
    <w:p>
      <w:pPr>
        <w:pStyle w:val="Heading1"/>
        <w:keepNext/>
      </w:pPr>
      <w:r>
        <w:rPr>
          <w:rFonts w:ascii="Aptos Display" w:hAnsi="Aptos Display"/>
        </w:rPr>
        <w:t>Purpose of the companion</w:t>
      </w:r>
    </w:p>
    <w:p>
      <w:pPr>
        <w:pStyle w:val="BodyText"/>
      </w:pPr>
      <w:r>
        <w:t>The Digital Resource Companion is the applied extension of Artificial Intelligence and Healthcare Economics: Evidence, Value, Governance, and Sustainability. The book contains the durable conceptual, economic, methodological, and governance argument. The companion provides editable institutional records, structured workbooks, worked examples, decision pathways, reference guides, process maps, and reproducible analytical resources that support application and local adaptation.</w:t>
      </w:r>
    </w:p>
    <w:p>
      <w:pPr>
        <w:pStyle w:val="BodyText"/>
      </w:pPr>
      <w:r>
        <w:t>The companion does not replace the reasoning developed in the book. It provides a structured way to apply that reasoning to a clearly specified jurisdiction, organization, population, workflow, intervention, comparator, technology version, evidence base, and accountable decision process.</w:t>
      </w:r>
    </w:p>
    <w:p>
      <w:pPr>
        <w:pStyle w:val="Heading1"/>
        <w:keepNext/>
      </w:pPr>
      <w:r>
        <w:rPr>
          <w:rFonts w:ascii="Aptos Display" w:hAnsi="Aptos Display"/>
        </w:rPr>
        <w:t>Choose the appropriate entry point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C7AA74"/>
            <w:vAlign w:val="center"/>
            <w:tcMar>
              <w:top w:w="80" w:type="dxa"/>
              <w:start w:w="100" w:type="dxa"/>
              <w:bottom w:w="80" w:type="dxa"/>
              <w:end w:w="100" w:type="dxa"/>
            </w:tcMar>
          </w:tcPr>
          <w:p>
            <w:pPr>
              <w:spacing w:after="0"/>
              <w:jc w:val="center"/>
            </w:pPr>
            <w:r/>
            <w:r>
              <w:rPr>
                <w:rFonts w:ascii="Aptos" w:hAnsi="Aptos"/>
                <w:b/>
                <w:color w:val="25272D"/>
                <w:sz w:val="18"/>
              </w:rPr>
              <w:t>Entry point</w:t>
            </w:r>
          </w:p>
        </w:tc>
        <w:tc>
          <w:tcPr>
            <w:tcW w:type="dxa" w:w="2520"/>
            <w:shd w:fill="C7AA74"/>
            <w:vAlign w:val="center"/>
            <w:tcMar>
              <w:top w:w="80" w:type="dxa"/>
              <w:start w:w="100" w:type="dxa"/>
              <w:bottom w:w="80" w:type="dxa"/>
              <w:end w:w="100" w:type="dxa"/>
            </w:tcMar>
          </w:tcPr>
          <w:p>
            <w:pPr>
              <w:spacing w:after="0"/>
              <w:jc w:val="center"/>
            </w:pPr>
            <w:r/>
            <w:r>
              <w:rPr>
                <w:rFonts w:ascii="Aptos" w:hAnsi="Aptos"/>
                <w:b/>
                <w:color w:val="25272D"/>
                <w:sz w:val="18"/>
              </w:rPr>
              <w:t>Best suited to</w:t>
            </w:r>
          </w:p>
        </w:tc>
        <w:tc>
          <w:tcPr>
            <w:tcW w:type="dxa" w:w="5112"/>
            <w:shd w:fill="C7AA74"/>
            <w:vAlign w:val="center"/>
            <w:tcMar>
              <w:top w:w="80" w:type="dxa"/>
              <w:start w:w="100" w:type="dxa"/>
              <w:bottom w:w="80" w:type="dxa"/>
              <w:end w:w="100" w:type="dxa"/>
            </w:tcMar>
          </w:tcPr>
          <w:p>
            <w:pPr>
              <w:spacing w:after="0"/>
              <w:jc w:val="center"/>
            </w:pPr>
            <w:r/>
            <w:r>
              <w:rPr>
                <w:rFonts w:ascii="Aptos" w:hAnsi="Aptos"/>
                <w:b/>
                <w:color w:val="25272D"/>
                <w:sz w:val="18"/>
              </w:rPr>
              <w:t>What it provides</w:t>
            </w:r>
          </w:p>
        </w:tc>
      </w:tr>
      <w:tr>
        <w:tc>
          <w:tcPr>
            <w:tcW w:type="dxa" w:w="2088"/>
            <w:shd w:fill="FFFDF8"/>
            <w:vAlign w:val="center"/>
            <w:tcMar>
              <w:top w:w="80" w:type="dxa"/>
              <w:start w:w="100" w:type="dxa"/>
              <w:bottom w:w="80" w:type="dxa"/>
              <w:end w:w="100" w:type="dxa"/>
            </w:tcMar>
          </w:tcPr>
          <w:p>
            <w:pPr>
              <w:spacing w:after="0"/>
              <w:jc w:val="left"/>
            </w:pPr>
            <w:r/>
            <w:r>
              <w:rPr>
                <w:rFonts w:ascii="Aptos" w:hAnsi="Aptos"/>
                <w:b w:val="0"/>
                <w:color w:val="25272D"/>
                <w:sz w:val="17"/>
              </w:rPr>
              <w:t>GitHub Pages Web Companion</w:t>
            </w:r>
          </w:p>
        </w:tc>
        <w:tc>
          <w:tcPr>
            <w:tcW w:type="dxa" w:w="2520"/>
            <w:shd w:fill="FFFDF8"/>
            <w:vAlign w:val="center"/>
            <w:tcMar>
              <w:top w:w="80" w:type="dxa"/>
              <w:start w:w="100" w:type="dxa"/>
              <w:bottom w:w="80" w:type="dxa"/>
              <w:end w:w="100" w:type="dxa"/>
            </w:tcMar>
          </w:tcPr>
          <w:p>
            <w:pPr>
              <w:spacing w:after="0"/>
              <w:jc w:val="left"/>
            </w:pPr>
            <w:r/>
            <w:r>
              <w:rPr>
                <w:rFonts w:ascii="Aptos" w:hAnsi="Aptos"/>
                <w:b w:val="0"/>
                <w:color w:val="25272D"/>
                <w:sz w:val="17"/>
              </w:rPr>
              <w:t>Most users beginning online</w:t>
            </w:r>
          </w:p>
        </w:tc>
        <w:tc>
          <w:tcPr>
            <w:tcW w:type="dxa" w:w="5112"/>
            <w:shd w:fill="FFFDF8"/>
            <w:vAlign w:val="center"/>
            <w:tcMar>
              <w:top w:w="80" w:type="dxa"/>
              <w:start w:w="100" w:type="dxa"/>
              <w:bottom w:w="80" w:type="dxa"/>
              <w:end w:w="100" w:type="dxa"/>
            </w:tcMar>
          </w:tcPr>
          <w:p>
            <w:pPr>
              <w:spacing w:after="0"/>
              <w:jc w:val="left"/>
            </w:pPr>
            <w:r/>
            <w:r>
              <w:rPr>
                <w:rFonts w:ascii="Aptos" w:hAnsi="Aptos"/>
                <w:b w:val="0"/>
                <w:color w:val="25272D"/>
                <w:sz w:val="17"/>
              </w:rPr>
              <w:t>Guided navigation by chapter, decision stage, form, workbook, worked example, or analytical method.</w:t>
            </w:r>
          </w:p>
        </w:tc>
      </w:tr>
      <w:tr>
        <w:tc>
          <w:tcPr>
            <w:tcW w:type="dxa" w:w="2088"/>
            <w:shd w:fill="F7F1E7"/>
            <w:vAlign w:val="center"/>
            <w:tcMar>
              <w:top w:w="80" w:type="dxa"/>
              <w:start w:w="100" w:type="dxa"/>
              <w:bottom w:w="80" w:type="dxa"/>
              <w:end w:w="100" w:type="dxa"/>
            </w:tcMar>
          </w:tcPr>
          <w:p>
            <w:pPr>
              <w:spacing w:after="0"/>
              <w:jc w:val="left"/>
            </w:pPr>
            <w:r/>
            <w:r>
              <w:rPr>
                <w:rFonts w:ascii="Aptos" w:hAnsi="Aptos"/>
                <w:b w:val="0"/>
                <w:color w:val="25272D"/>
                <w:sz w:val="17"/>
              </w:rPr>
              <w:t>Reader and Practitioner Edition</w:t>
            </w:r>
          </w:p>
        </w:tc>
        <w:tc>
          <w:tcPr>
            <w:tcW w:type="dxa" w:w="2520"/>
            <w:shd w:fill="F7F1E7"/>
            <w:vAlign w:val="center"/>
            <w:tcMar>
              <w:top w:w="80" w:type="dxa"/>
              <w:start w:w="100" w:type="dxa"/>
              <w:bottom w:w="80" w:type="dxa"/>
              <w:end w:w="100" w:type="dxa"/>
            </w:tcMar>
          </w:tcPr>
          <w:p>
            <w:pPr>
              <w:spacing w:after="0"/>
              <w:jc w:val="left"/>
            </w:pPr>
            <w:r/>
            <w:r>
              <w:rPr>
                <w:rFonts w:ascii="Aptos" w:hAnsi="Aptos"/>
                <w:b w:val="0"/>
                <w:color w:val="25272D"/>
                <w:sz w:val="17"/>
              </w:rPr>
              <w:t>Readers, practitioners, managers, analysts, educators, and institutional teams</w:t>
            </w:r>
          </w:p>
        </w:tc>
        <w:tc>
          <w:tcPr>
            <w:tcW w:type="dxa" w:w="5112"/>
            <w:shd w:fill="F7F1E7"/>
            <w:vAlign w:val="center"/>
            <w:tcMar>
              <w:top w:w="80" w:type="dxa"/>
              <w:start w:w="100" w:type="dxa"/>
              <w:bottom w:w="80" w:type="dxa"/>
              <w:end w:w="100" w:type="dxa"/>
            </w:tcMar>
          </w:tcPr>
          <w:p>
            <w:pPr>
              <w:spacing w:after="0"/>
              <w:jc w:val="left"/>
            </w:pPr>
            <w:r/>
            <w:r>
              <w:rPr>
                <w:rFonts w:ascii="Aptos" w:hAnsi="Aptos"/>
                <w:b w:val="0"/>
                <w:color w:val="25272D"/>
                <w:sz w:val="17"/>
              </w:rPr>
              <w:t>A complete, accessible offline collection with the Web Companion, forms, workbooks, cases, guides, selected analytics, catalogues, and printable companion.</w:t>
            </w:r>
          </w:p>
        </w:tc>
      </w:tr>
      <w:tr>
        <w:tc>
          <w:tcPr>
            <w:tcW w:type="dxa" w:w="2088"/>
            <w:shd w:fill="FFFDF8"/>
            <w:vAlign w:val="center"/>
            <w:tcMar>
              <w:top w:w="80" w:type="dxa"/>
              <w:start w:w="100" w:type="dxa"/>
              <w:bottom w:w="80" w:type="dxa"/>
              <w:end w:w="100" w:type="dxa"/>
            </w:tcMar>
          </w:tcPr>
          <w:p>
            <w:pPr>
              <w:spacing w:after="0"/>
              <w:jc w:val="left"/>
            </w:pPr>
            <w:r/>
            <w:r>
              <w:rPr>
                <w:rFonts w:ascii="Aptos" w:hAnsi="Aptos"/>
                <w:b w:val="0"/>
                <w:color w:val="25272D"/>
                <w:sz w:val="17"/>
              </w:rPr>
              <w:t>Core Tools Pack</w:t>
            </w:r>
          </w:p>
        </w:tc>
        <w:tc>
          <w:tcPr>
            <w:tcW w:type="dxa" w:w="2520"/>
            <w:shd w:fill="FFFDF8"/>
            <w:vAlign w:val="center"/>
            <w:tcMar>
              <w:top w:w="80" w:type="dxa"/>
              <w:start w:w="100" w:type="dxa"/>
              <w:bottom w:w="80" w:type="dxa"/>
              <w:end w:w="100" w:type="dxa"/>
            </w:tcMar>
          </w:tcPr>
          <w:p>
            <w:pPr>
              <w:spacing w:after="0"/>
              <w:jc w:val="left"/>
            </w:pPr>
            <w:r/>
            <w:r>
              <w:rPr>
                <w:rFonts w:ascii="Aptos" w:hAnsi="Aptos"/>
                <w:b w:val="0"/>
                <w:color w:val="25272D"/>
                <w:sz w:val="17"/>
              </w:rPr>
              <w:t>Teams that primarily need the principal institutional documents</w:t>
            </w:r>
          </w:p>
        </w:tc>
        <w:tc>
          <w:tcPr>
            <w:tcW w:type="dxa" w:w="5112"/>
            <w:shd w:fill="FFFDF8"/>
            <w:vAlign w:val="center"/>
            <w:tcMar>
              <w:top w:w="80" w:type="dxa"/>
              <w:start w:w="100" w:type="dxa"/>
              <w:bottom w:w="80" w:type="dxa"/>
              <w:end w:w="100" w:type="dxa"/>
            </w:tcMar>
          </w:tcPr>
          <w:p>
            <w:pPr>
              <w:spacing w:after="0"/>
              <w:jc w:val="left"/>
            </w:pPr>
            <w:r/>
            <w:r>
              <w:rPr>
                <w:rFonts w:ascii="Aptos" w:hAnsi="Aptos"/>
                <w:b w:val="0"/>
                <w:color w:val="25272D"/>
                <w:sz w:val="17"/>
              </w:rPr>
              <w:t>The consolidated Core Resource Forms, consolidated Core Resource Workbook, practical guidance, licence, disclaimer, and package manifest.</w:t>
            </w:r>
          </w:p>
        </w:tc>
      </w:tr>
      <w:tr>
        <w:tc>
          <w:tcPr>
            <w:tcW w:type="dxa" w:w="2088"/>
            <w:shd w:fill="F7F1E7"/>
            <w:vAlign w:val="center"/>
            <w:tcMar>
              <w:top w:w="80" w:type="dxa"/>
              <w:start w:w="100" w:type="dxa"/>
              <w:bottom w:w="80" w:type="dxa"/>
              <w:end w:w="100" w:type="dxa"/>
            </w:tcMar>
          </w:tcPr>
          <w:p>
            <w:pPr>
              <w:spacing w:after="0"/>
              <w:jc w:val="left"/>
            </w:pPr>
            <w:r/>
            <w:r>
              <w:rPr>
                <w:rFonts w:ascii="Aptos" w:hAnsi="Aptos"/>
                <w:b w:val="0"/>
                <w:color w:val="25272D"/>
                <w:sz w:val="17"/>
              </w:rPr>
              <w:t>Canonical Source</w:t>
            </w:r>
          </w:p>
        </w:tc>
        <w:tc>
          <w:tcPr>
            <w:tcW w:type="dxa" w:w="2520"/>
            <w:shd w:fill="F7F1E7"/>
            <w:vAlign w:val="center"/>
            <w:tcMar>
              <w:top w:w="80" w:type="dxa"/>
              <w:start w:w="100" w:type="dxa"/>
              <w:bottom w:w="80" w:type="dxa"/>
              <w:end w:w="100" w:type="dxa"/>
            </w:tcMar>
          </w:tcPr>
          <w:p>
            <w:pPr>
              <w:spacing w:after="0"/>
              <w:jc w:val="left"/>
            </w:pPr>
            <w:r/>
            <w:r>
              <w:rPr>
                <w:rFonts w:ascii="Aptos" w:hAnsi="Aptos"/>
                <w:b w:val="0"/>
                <w:color w:val="25272D"/>
                <w:sz w:val="17"/>
              </w:rPr>
              <w:t>Researchers, developers, repository maintainers, advanced analysts, educators, and institutions</w:t>
            </w:r>
          </w:p>
        </w:tc>
        <w:tc>
          <w:tcPr>
            <w:tcW w:type="dxa" w:w="5112"/>
            <w:shd w:fill="F7F1E7"/>
            <w:vAlign w:val="center"/>
            <w:tcMar>
              <w:top w:w="80" w:type="dxa"/>
              <w:start w:w="100" w:type="dxa"/>
              <w:bottom w:w="80" w:type="dxa"/>
              <w:end w:w="100" w:type="dxa"/>
            </w:tcMar>
          </w:tcPr>
          <w:p>
            <w:pPr>
              <w:spacing w:after="0"/>
              <w:jc w:val="left"/>
            </w:pPr>
            <w:r/>
            <w:r>
              <w:rPr>
                <w:rFonts w:ascii="Aptos" w:hAnsi="Aptos"/>
                <w:b w:val="0"/>
                <w:color w:val="25272D"/>
                <w:sz w:val="17"/>
              </w:rPr>
              <w:t>The complete authoritative source collection, including editable, computational, machine-readable, process, publication, and website materials.</w:t>
            </w:r>
          </w:p>
        </w:tc>
      </w:tr>
      <w:tr>
        <w:tc>
          <w:tcPr>
            <w:tcW w:type="dxa" w:w="2088"/>
            <w:shd w:fill="FFFDF8"/>
            <w:vAlign w:val="center"/>
            <w:tcMar>
              <w:top w:w="80" w:type="dxa"/>
              <w:start w:w="100" w:type="dxa"/>
              <w:bottom w:w="80" w:type="dxa"/>
              <w:end w:w="100" w:type="dxa"/>
            </w:tcMar>
          </w:tcPr>
          <w:p>
            <w:pPr>
              <w:spacing w:after="0"/>
              <w:jc w:val="left"/>
            </w:pPr>
            <w:r/>
            <w:r>
              <w:rPr>
                <w:rFonts w:ascii="Aptos" w:hAnsi="Aptos"/>
                <w:b w:val="0"/>
                <w:color w:val="25272D"/>
                <w:sz w:val="17"/>
              </w:rPr>
              <w:t>Printable Digital Resource Companion</w:t>
            </w:r>
          </w:p>
        </w:tc>
        <w:tc>
          <w:tcPr>
            <w:tcW w:type="dxa" w:w="2520"/>
            <w:shd w:fill="FFFDF8"/>
            <w:vAlign w:val="center"/>
            <w:tcMar>
              <w:top w:w="80" w:type="dxa"/>
              <w:start w:w="100" w:type="dxa"/>
              <w:bottom w:w="80" w:type="dxa"/>
              <w:end w:w="100" w:type="dxa"/>
            </w:tcMar>
          </w:tcPr>
          <w:p>
            <w:pPr>
              <w:spacing w:after="0"/>
              <w:jc w:val="left"/>
            </w:pPr>
            <w:r/>
            <w:r>
              <w:rPr>
                <w:rFonts w:ascii="Aptos" w:hAnsi="Aptos"/>
                <w:b w:val="0"/>
                <w:color w:val="25272D"/>
                <w:sz w:val="17"/>
              </w:rPr>
              <w:t>Readers who prefer a coherent readable reference</w:t>
            </w:r>
          </w:p>
        </w:tc>
        <w:tc>
          <w:tcPr>
            <w:tcW w:type="dxa" w:w="5112"/>
            <w:shd w:fill="FFFDF8"/>
            <w:vAlign w:val="center"/>
            <w:tcMar>
              <w:top w:w="80" w:type="dxa"/>
              <w:start w:w="100" w:type="dxa"/>
              <w:bottom w:w="80" w:type="dxa"/>
              <w:end w:w="100" w:type="dxa"/>
            </w:tcMar>
          </w:tcPr>
          <w:p>
            <w:pPr>
              <w:spacing w:after="0"/>
              <w:jc w:val="left"/>
            </w:pPr>
            <w:r/>
            <w:r>
              <w:rPr>
                <w:rFonts w:ascii="Aptos" w:hAnsi="Aptos"/>
                <w:b w:val="0"/>
                <w:color w:val="25272D"/>
                <w:sz w:val="17"/>
              </w:rPr>
              <w:t>A book-like PDF and Word volume explaining the companion architecture, resources, cases, methods, and recommended use.</w:t>
            </w:r>
          </w:p>
        </w:tc>
      </w:tr>
    </w:tbl>
    <w:p>
      <w:pPr>
        <w:spacing w:after="0"/>
      </w:pPr>
    </w:p>
    <w:p>
      <w:pPr>
        <w:pStyle w:val="BodyText"/>
      </w:pPr>
      <w:r>
        <w:t>Recommended starting point. Most readers should begin with the Web Companion or the Reader and Practitioner Edition. Use the Core Tools Pack when the immediate need is a compact set of institutional forms and workbooks. Use the Canonical Source when maintaining, extending, reproducing, auditing, or republishing resources.</w:t>
      </w:r>
    </w:p>
    <w:p>
      <w:pPr>
        <w:pStyle w:val="Heading1"/>
        <w:keepNext/>
      </w:pPr>
      <w:r>
        <w:rPr>
          <w:rFonts w:ascii="Aptos Display" w:hAnsi="Aptos Display"/>
        </w:rPr>
        <w:t>V1.0 resource scope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616"/>
            <w:shd w:fill="C7AA74"/>
            <w:vAlign w:val="center"/>
            <w:tcMar>
              <w:top w:w="80" w:type="dxa"/>
              <w:start w:w="100" w:type="dxa"/>
              <w:bottom w:w="80" w:type="dxa"/>
              <w:end w:w="100" w:type="dxa"/>
            </w:tcMar>
          </w:tcPr>
          <w:p>
            <w:pPr>
              <w:spacing w:after="0"/>
              <w:jc w:val="center"/>
            </w:pPr>
            <w:r/>
            <w:r>
              <w:rPr>
                <w:rFonts w:ascii="Aptos" w:hAnsi="Aptos"/>
                <w:b/>
                <w:color w:val="25272D"/>
                <w:sz w:val="18"/>
              </w:rPr>
              <w:t>Resource class</w:t>
            </w:r>
          </w:p>
        </w:tc>
        <w:tc>
          <w:tcPr>
            <w:tcW w:type="dxa" w:w="4032"/>
            <w:shd w:fill="C7AA74"/>
            <w:vAlign w:val="center"/>
            <w:tcMar>
              <w:top w:w="80" w:type="dxa"/>
              <w:start w:w="100" w:type="dxa"/>
              <w:bottom w:w="80" w:type="dxa"/>
              <w:end w:w="100" w:type="dxa"/>
            </w:tcMar>
          </w:tcPr>
          <w:p>
            <w:pPr>
              <w:spacing w:after="0"/>
              <w:jc w:val="center"/>
            </w:pPr>
            <w:r/>
            <w:r>
              <w:rPr>
                <w:rFonts w:ascii="Aptos" w:hAnsi="Aptos"/>
                <w:b/>
                <w:color w:val="25272D"/>
                <w:sz w:val="18"/>
              </w:rPr>
              <w:t>V1.0 scope</w:t>
            </w:r>
          </w:p>
        </w:tc>
      </w:tr>
      <w:tr>
        <w:tc>
          <w:tcPr>
            <w:tcW w:type="dxa" w:w="5616"/>
            <w:shd w:fill="FFFDF8"/>
            <w:vAlign w:val="center"/>
            <w:tcMar>
              <w:top w:w="80" w:type="dxa"/>
              <w:start w:w="100" w:type="dxa"/>
              <w:bottom w:w="80" w:type="dxa"/>
              <w:end w:w="100" w:type="dxa"/>
            </w:tcMar>
          </w:tcPr>
          <w:p>
            <w:pPr>
              <w:spacing w:after="0"/>
              <w:jc w:val="left"/>
            </w:pPr>
            <w:r/>
            <w:r>
              <w:rPr>
                <w:rFonts w:ascii="Aptos" w:hAnsi="Aptos"/>
                <w:b w:val="0"/>
                <w:color w:val="25272D"/>
                <w:sz w:val="17"/>
              </w:rPr>
              <w:t>Book structure</w:t>
            </w:r>
          </w:p>
        </w:tc>
        <w:tc>
          <w:tcPr>
            <w:tcW w:type="dxa" w:w="4032"/>
            <w:shd w:fill="FFFDF8"/>
            <w:vAlign w:val="center"/>
            <w:tcMar>
              <w:top w:w="80" w:type="dxa"/>
              <w:start w:w="100" w:type="dxa"/>
              <w:bottom w:w="80" w:type="dxa"/>
              <w:end w:w="100" w:type="dxa"/>
            </w:tcMar>
          </w:tcPr>
          <w:p>
            <w:pPr>
              <w:spacing w:after="0"/>
              <w:jc w:val="left"/>
            </w:pPr>
            <w:r/>
            <w:r>
              <w:rPr>
                <w:rFonts w:ascii="Aptos" w:hAnsi="Aptos"/>
                <w:b w:val="0"/>
                <w:color w:val="25272D"/>
                <w:sz w:val="17"/>
              </w:rPr>
              <w:t>5 Parts and 15 chapters</w:t>
            </w:r>
          </w:p>
        </w:tc>
      </w:tr>
      <w:tr>
        <w:tc>
          <w:tcPr>
            <w:tcW w:type="dxa" w:w="5616"/>
            <w:shd w:fill="F7F1E7"/>
            <w:vAlign w:val="center"/>
            <w:tcMar>
              <w:top w:w="80" w:type="dxa"/>
              <w:start w:w="100" w:type="dxa"/>
              <w:bottom w:w="80" w:type="dxa"/>
              <w:end w:w="100" w:type="dxa"/>
            </w:tcMar>
          </w:tcPr>
          <w:p>
            <w:pPr>
              <w:spacing w:after="0"/>
              <w:jc w:val="left"/>
            </w:pPr>
            <w:r/>
            <w:r>
              <w:rPr>
                <w:rFonts w:ascii="Aptos" w:hAnsi="Aptos"/>
                <w:b w:val="0"/>
                <w:color w:val="25272D"/>
                <w:sz w:val="17"/>
              </w:rPr>
              <w:t>Principal book figures</w:t>
            </w:r>
          </w:p>
        </w:tc>
        <w:tc>
          <w:tcPr>
            <w:tcW w:type="dxa" w:w="4032"/>
            <w:shd w:fill="F7F1E7"/>
            <w:vAlign w:val="center"/>
            <w:tcMar>
              <w:top w:w="80" w:type="dxa"/>
              <w:start w:w="100" w:type="dxa"/>
              <w:bottom w:w="80" w:type="dxa"/>
              <w:end w:w="100" w:type="dxa"/>
            </w:tcMar>
          </w:tcPr>
          <w:p>
            <w:pPr>
              <w:spacing w:after="0"/>
              <w:jc w:val="left"/>
            </w:pPr>
            <w:r/>
            <w:r>
              <w:rPr>
                <w:rFonts w:ascii="Aptos" w:hAnsi="Aptos"/>
                <w:b w:val="0"/>
                <w:color w:val="25272D"/>
                <w:sz w:val="17"/>
              </w:rPr>
              <w:t>31</w:t>
            </w:r>
          </w:p>
        </w:tc>
      </w:tr>
      <w:tr>
        <w:tc>
          <w:tcPr>
            <w:tcW w:type="dxa" w:w="5616"/>
            <w:shd w:fill="FFFDF8"/>
            <w:vAlign w:val="center"/>
            <w:tcMar>
              <w:top w:w="80" w:type="dxa"/>
              <w:start w:w="100" w:type="dxa"/>
              <w:bottom w:w="80" w:type="dxa"/>
              <w:end w:w="100" w:type="dxa"/>
            </w:tcMar>
          </w:tcPr>
          <w:p>
            <w:pPr>
              <w:spacing w:after="0"/>
              <w:jc w:val="left"/>
            </w:pPr>
            <w:r/>
            <w:r>
              <w:rPr>
                <w:rFonts w:ascii="Aptos" w:hAnsi="Aptos"/>
                <w:b w:val="0"/>
                <w:color w:val="25272D"/>
                <w:sz w:val="17"/>
              </w:rPr>
              <w:t>Principal book tables</w:t>
            </w:r>
          </w:p>
        </w:tc>
        <w:tc>
          <w:tcPr>
            <w:tcW w:type="dxa" w:w="4032"/>
            <w:shd w:fill="FFFDF8"/>
            <w:vAlign w:val="center"/>
            <w:tcMar>
              <w:top w:w="80" w:type="dxa"/>
              <w:start w:w="100" w:type="dxa"/>
              <w:bottom w:w="80" w:type="dxa"/>
              <w:end w:w="100" w:type="dxa"/>
            </w:tcMar>
          </w:tcPr>
          <w:p>
            <w:pPr>
              <w:spacing w:after="0"/>
              <w:jc w:val="left"/>
            </w:pPr>
            <w:r/>
            <w:r>
              <w:rPr>
                <w:rFonts w:ascii="Aptos" w:hAnsi="Aptos"/>
                <w:b w:val="0"/>
                <w:color w:val="25272D"/>
                <w:sz w:val="17"/>
              </w:rPr>
              <w:t>46</w:t>
            </w:r>
          </w:p>
        </w:tc>
      </w:tr>
      <w:tr>
        <w:tc>
          <w:tcPr>
            <w:tcW w:type="dxa" w:w="5616"/>
            <w:shd w:fill="F7F1E7"/>
            <w:vAlign w:val="center"/>
            <w:tcMar>
              <w:top w:w="80" w:type="dxa"/>
              <w:start w:w="100" w:type="dxa"/>
              <w:bottom w:w="80" w:type="dxa"/>
              <w:end w:w="100" w:type="dxa"/>
            </w:tcMar>
          </w:tcPr>
          <w:p>
            <w:pPr>
              <w:spacing w:after="0"/>
              <w:jc w:val="left"/>
            </w:pPr>
            <w:r/>
            <w:r>
              <w:rPr>
                <w:rFonts w:ascii="Aptos" w:hAnsi="Aptos"/>
                <w:b w:val="0"/>
                <w:color w:val="25272D"/>
                <w:sz w:val="17"/>
              </w:rPr>
              <w:t>Core institutional records</w:t>
            </w:r>
          </w:p>
        </w:tc>
        <w:tc>
          <w:tcPr>
            <w:tcW w:type="dxa" w:w="4032"/>
            <w:shd w:fill="F7F1E7"/>
            <w:vAlign w:val="center"/>
            <w:tcMar>
              <w:top w:w="80" w:type="dxa"/>
              <w:start w:w="100" w:type="dxa"/>
              <w:bottom w:w="80" w:type="dxa"/>
              <w:end w:w="100" w:type="dxa"/>
            </w:tcMar>
          </w:tcPr>
          <w:p>
            <w:pPr>
              <w:spacing w:after="0"/>
              <w:jc w:val="left"/>
            </w:pPr>
            <w:r/>
            <w:r>
              <w:rPr>
                <w:rFonts w:ascii="Aptos" w:hAnsi="Aptos"/>
                <w:b w:val="0"/>
                <w:color w:val="25272D"/>
                <w:sz w:val="17"/>
              </w:rPr>
              <w:t>24</w:t>
            </w:r>
          </w:p>
        </w:tc>
      </w:tr>
      <w:tr>
        <w:tc>
          <w:tcPr>
            <w:tcW w:type="dxa" w:w="5616"/>
            <w:shd w:fill="FFFDF8"/>
            <w:vAlign w:val="center"/>
            <w:tcMar>
              <w:top w:w="80" w:type="dxa"/>
              <w:start w:w="100" w:type="dxa"/>
              <w:bottom w:w="80" w:type="dxa"/>
              <w:end w:w="100" w:type="dxa"/>
            </w:tcMar>
          </w:tcPr>
          <w:p>
            <w:pPr>
              <w:spacing w:after="0"/>
              <w:jc w:val="left"/>
            </w:pPr>
            <w:r/>
            <w:r>
              <w:rPr>
                <w:rFonts w:ascii="Aptos" w:hAnsi="Aptos"/>
                <w:b w:val="0"/>
                <w:color w:val="25272D"/>
                <w:sz w:val="17"/>
              </w:rPr>
              <w:t>Worked examples</w:t>
            </w:r>
          </w:p>
        </w:tc>
        <w:tc>
          <w:tcPr>
            <w:tcW w:type="dxa" w:w="4032"/>
            <w:shd w:fill="FFFDF8"/>
            <w:vAlign w:val="center"/>
            <w:tcMar>
              <w:top w:w="80" w:type="dxa"/>
              <w:start w:w="100" w:type="dxa"/>
              <w:bottom w:w="80" w:type="dxa"/>
              <w:end w:w="100" w:type="dxa"/>
            </w:tcMar>
          </w:tcPr>
          <w:p>
            <w:pPr>
              <w:spacing w:after="0"/>
              <w:jc w:val="left"/>
            </w:pPr>
            <w:r/>
            <w:r>
              <w:rPr>
                <w:rFonts w:ascii="Aptos" w:hAnsi="Aptos"/>
                <w:b w:val="0"/>
                <w:color w:val="25272D"/>
                <w:sz w:val="17"/>
              </w:rPr>
              <w:t>20, plus AIHE-CASE00 as the common case-analysis method</w:t>
            </w:r>
          </w:p>
        </w:tc>
      </w:tr>
      <w:tr>
        <w:tc>
          <w:tcPr>
            <w:tcW w:type="dxa" w:w="5616"/>
            <w:shd w:fill="F7F1E7"/>
            <w:vAlign w:val="center"/>
            <w:tcMar>
              <w:top w:w="80" w:type="dxa"/>
              <w:start w:w="100" w:type="dxa"/>
              <w:bottom w:w="80" w:type="dxa"/>
              <w:end w:w="100" w:type="dxa"/>
            </w:tcMar>
          </w:tcPr>
          <w:p>
            <w:pPr>
              <w:spacing w:after="0"/>
              <w:jc w:val="left"/>
            </w:pPr>
            <w:r/>
            <w:r>
              <w:rPr>
                <w:rFonts w:ascii="Aptos" w:hAnsi="Aptos"/>
                <w:b w:val="0"/>
                <w:color w:val="25272D"/>
                <w:sz w:val="17"/>
              </w:rPr>
              <w:t>Python analytical modules</w:t>
            </w:r>
          </w:p>
        </w:tc>
        <w:tc>
          <w:tcPr>
            <w:tcW w:type="dxa" w:w="4032"/>
            <w:shd w:fill="F7F1E7"/>
            <w:vAlign w:val="center"/>
            <w:tcMar>
              <w:top w:w="80" w:type="dxa"/>
              <w:start w:w="100" w:type="dxa"/>
              <w:bottom w:w="80" w:type="dxa"/>
              <w:end w:w="100" w:type="dxa"/>
            </w:tcMar>
          </w:tcPr>
          <w:p>
            <w:pPr>
              <w:spacing w:after="0"/>
              <w:jc w:val="left"/>
            </w:pPr>
            <w:r/>
            <w:r>
              <w:rPr>
                <w:rFonts w:ascii="Aptos" w:hAnsi="Aptos"/>
                <w:b w:val="0"/>
                <w:color w:val="25272D"/>
                <w:sz w:val="17"/>
              </w:rPr>
              <w:t>40</w:t>
            </w:r>
          </w:p>
        </w:tc>
      </w:tr>
      <w:tr>
        <w:tc>
          <w:tcPr>
            <w:tcW w:type="dxa" w:w="5616"/>
            <w:shd w:fill="FFFDF8"/>
            <w:vAlign w:val="center"/>
            <w:tcMar>
              <w:top w:w="80" w:type="dxa"/>
              <w:start w:w="100" w:type="dxa"/>
              <w:bottom w:w="80" w:type="dxa"/>
              <w:end w:w="100" w:type="dxa"/>
            </w:tcMar>
          </w:tcPr>
          <w:p>
            <w:pPr>
              <w:spacing w:after="0"/>
              <w:jc w:val="left"/>
            </w:pPr>
            <w:r/>
            <w:r>
              <w:rPr>
                <w:rFonts w:ascii="Aptos" w:hAnsi="Aptos"/>
                <w:b w:val="0"/>
                <w:color w:val="25272D"/>
                <w:sz w:val="17"/>
              </w:rPr>
              <w:t>Catalogued companion resources</w:t>
            </w:r>
          </w:p>
        </w:tc>
        <w:tc>
          <w:tcPr>
            <w:tcW w:type="dxa" w:w="4032"/>
            <w:shd w:fill="FFFDF8"/>
            <w:vAlign w:val="center"/>
            <w:tcMar>
              <w:top w:w="80" w:type="dxa"/>
              <w:start w:w="100" w:type="dxa"/>
              <w:bottom w:w="80" w:type="dxa"/>
              <w:end w:w="100" w:type="dxa"/>
            </w:tcMar>
          </w:tcPr>
          <w:p>
            <w:pPr>
              <w:spacing w:after="0"/>
              <w:jc w:val="left"/>
            </w:pPr>
            <w:r/>
            <w:r>
              <w:rPr>
                <w:rFonts w:ascii="Aptos" w:hAnsi="Aptos"/>
                <w:b w:val="0"/>
                <w:color w:val="25272D"/>
                <w:sz w:val="17"/>
              </w:rPr>
              <w:t>146</w:t>
            </w:r>
          </w:p>
        </w:tc>
      </w:tr>
    </w:tbl>
    <w:p>
      <w:pPr>
        <w:spacing w:after="0"/>
      </w:pPr>
    </w:p>
    <w:p>
      <w:pPr>
        <w:pStyle w:val="BodyText"/>
      </w:pPr>
      <w:r>
        <w:t>Stable identifiers should be used in preference to printed page numbers. Examples include AIHE-D02 for the lifecycle decision-state record, AIHE-CASE15 for the remote-diagnostic worked example, and AIHE-PY38 for the related circularity-adjusted analysis.</w:t>
      </w:r>
    </w:p>
    <w:p>
      <w:r>
        <w:br w:type="page"/>
      </w:r>
    </w:p>
    <w:p>
      <w:pPr>
        <w:pStyle w:val="Heading1"/>
        <w:keepNext/>
      </w:pPr>
      <w:r>
        <w:rPr>
          <w:rFonts w:ascii="Aptos Display" w:hAnsi="Aptos Display"/>
        </w:rPr>
        <w:t>How the companion is organized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C7AA74"/>
            <w:vAlign w:val="center"/>
            <w:tcMar>
              <w:top w:w="80" w:type="dxa"/>
              <w:start w:w="100" w:type="dxa"/>
              <w:bottom w:w="80" w:type="dxa"/>
              <w:end w:w="100" w:type="dxa"/>
            </w:tcMar>
          </w:tcPr>
          <w:p>
            <w:pPr>
              <w:spacing w:after="0"/>
              <w:jc w:val="center"/>
            </w:pPr>
            <w:r/>
            <w:r>
              <w:rPr>
                <w:rFonts w:ascii="Aptos" w:hAnsi="Aptos"/>
                <w:b/>
                <w:color w:val="25272D"/>
                <w:sz w:val="18"/>
              </w:rPr>
              <w:t>Component</w:t>
            </w:r>
          </w:p>
        </w:tc>
        <w:tc>
          <w:tcPr>
            <w:tcW w:type="dxa" w:w="6768"/>
            <w:shd w:fill="C7AA74"/>
            <w:vAlign w:val="center"/>
            <w:tcMar>
              <w:top w:w="80" w:type="dxa"/>
              <w:start w:w="100" w:type="dxa"/>
              <w:bottom w:w="80" w:type="dxa"/>
              <w:end w:w="100" w:type="dxa"/>
            </w:tcMar>
          </w:tcPr>
          <w:p>
            <w:pPr>
              <w:spacing w:after="0"/>
              <w:jc w:val="center"/>
            </w:pPr>
            <w:r/>
            <w:r>
              <w:rPr>
                <w:rFonts w:ascii="Aptos" w:hAnsi="Aptos"/>
                <w:b/>
                <w:color w:val="25272D"/>
                <w:sz w:val="18"/>
              </w:rPr>
              <w:t>Role</w:t>
            </w:r>
          </w:p>
        </w:tc>
      </w:tr>
      <w:tr>
        <w:tc>
          <w:tcPr>
            <w:tcW w:type="dxa" w:w="2880"/>
            <w:shd w:fill="FFFDF8"/>
            <w:vAlign w:val="center"/>
            <w:tcMar>
              <w:top w:w="80" w:type="dxa"/>
              <w:start w:w="100" w:type="dxa"/>
              <w:bottom w:w="80" w:type="dxa"/>
              <w:end w:w="100" w:type="dxa"/>
            </w:tcMar>
          </w:tcPr>
          <w:p>
            <w:pPr>
              <w:spacing w:after="0"/>
              <w:jc w:val="left"/>
            </w:pPr>
            <w:r/>
            <w:r>
              <w:rPr>
                <w:rFonts w:ascii="Aptos" w:hAnsi="Aptos"/>
                <w:b w:val="0"/>
                <w:color w:val="25272D"/>
                <w:sz w:val="17"/>
              </w:rPr>
              <w:t>Chapter-aligned resources</w:t>
            </w:r>
          </w:p>
        </w:tc>
        <w:tc>
          <w:tcPr>
            <w:tcW w:type="dxa" w:w="6768"/>
            <w:shd w:fill="FFFDF8"/>
            <w:vAlign w:val="center"/>
            <w:tcMar>
              <w:top w:w="80" w:type="dxa"/>
              <w:start w:w="100" w:type="dxa"/>
              <w:bottom w:w="80" w:type="dxa"/>
              <w:end w:w="100" w:type="dxa"/>
            </w:tcMar>
          </w:tcPr>
          <w:p>
            <w:pPr>
              <w:spacing w:after="0"/>
              <w:jc w:val="left"/>
            </w:pPr>
            <w:r/>
            <w:r>
              <w:rPr>
                <w:rFonts w:ascii="Aptos" w:hAnsi="Aptos"/>
                <w:b w:val="0"/>
                <w:color w:val="25272D"/>
                <w:sz w:val="17"/>
              </w:rPr>
              <w:t>Canonical records, guides, analytical modules, and process material aligned principally with each book chapter.</w:t>
            </w:r>
          </w:p>
        </w:tc>
      </w:tr>
      <w:tr>
        <w:tc>
          <w:tcPr>
            <w:tcW w:type="dxa" w:w="2880"/>
            <w:shd w:fill="F7F1E7"/>
            <w:vAlign w:val="center"/>
            <w:tcMar>
              <w:top w:w="80" w:type="dxa"/>
              <w:start w:w="100" w:type="dxa"/>
              <w:bottom w:w="80" w:type="dxa"/>
              <w:end w:w="100" w:type="dxa"/>
            </w:tcMar>
          </w:tcPr>
          <w:p>
            <w:pPr>
              <w:spacing w:after="0"/>
              <w:jc w:val="left"/>
            </w:pPr>
            <w:r/>
            <w:r>
              <w:rPr>
                <w:rFonts w:ascii="Aptos" w:hAnsi="Aptos"/>
                <w:b w:val="0"/>
                <w:color w:val="25272D"/>
                <w:sz w:val="17"/>
              </w:rPr>
              <w:t>Decision pathways</w:t>
            </w:r>
          </w:p>
        </w:tc>
        <w:tc>
          <w:tcPr>
            <w:tcW w:type="dxa" w:w="6768"/>
            <w:shd w:fill="F7F1E7"/>
            <w:vAlign w:val="center"/>
            <w:tcMar>
              <w:top w:w="80" w:type="dxa"/>
              <w:start w:w="100" w:type="dxa"/>
              <w:bottom w:w="80" w:type="dxa"/>
              <w:end w:w="100" w:type="dxa"/>
            </w:tcMar>
          </w:tcPr>
          <w:p>
            <w:pPr>
              <w:spacing w:after="0"/>
              <w:jc w:val="left"/>
            </w:pPr>
            <w:r/>
            <w:r>
              <w:rPr>
                <w:rFonts w:ascii="Aptos" w:hAnsi="Aptos"/>
                <w:b w:val="0"/>
                <w:color w:val="25272D"/>
                <w:sz w:val="17"/>
              </w:rPr>
              <w:t>Problem-first routes that help users choose the smallest sufficient set of resources for a particular institutional question.</w:t>
            </w:r>
          </w:p>
        </w:tc>
      </w:tr>
      <w:tr>
        <w:tc>
          <w:tcPr>
            <w:tcW w:type="dxa" w:w="2880"/>
            <w:shd w:fill="FFFDF8"/>
            <w:vAlign w:val="center"/>
            <w:tcMar>
              <w:top w:w="80" w:type="dxa"/>
              <w:start w:w="100" w:type="dxa"/>
              <w:bottom w:w="80" w:type="dxa"/>
              <w:end w:w="100" w:type="dxa"/>
            </w:tcMar>
          </w:tcPr>
          <w:p>
            <w:pPr>
              <w:spacing w:after="0"/>
              <w:jc w:val="left"/>
            </w:pPr>
            <w:r/>
            <w:r>
              <w:rPr>
                <w:rFonts w:ascii="Aptos" w:hAnsi="Aptos"/>
                <w:b w:val="0"/>
                <w:color w:val="25272D"/>
                <w:sz w:val="17"/>
              </w:rPr>
              <w:t>Core forms</w:t>
            </w:r>
          </w:p>
        </w:tc>
        <w:tc>
          <w:tcPr>
            <w:tcW w:type="dxa" w:w="6768"/>
            <w:shd w:fill="FFFDF8"/>
            <w:vAlign w:val="center"/>
            <w:tcMar>
              <w:top w:w="80" w:type="dxa"/>
              <w:start w:w="100" w:type="dxa"/>
              <w:bottom w:w="80" w:type="dxa"/>
              <w:end w:w="100" w:type="dxa"/>
            </w:tcMar>
          </w:tcPr>
          <w:p>
            <w:pPr>
              <w:spacing w:after="0"/>
              <w:jc w:val="left"/>
            </w:pPr>
            <w:r/>
            <w:r>
              <w:rPr>
                <w:rFonts w:ascii="Aptos" w:hAnsi="Aptos"/>
                <w:b w:val="0"/>
                <w:color w:val="25272D"/>
                <w:sz w:val="17"/>
              </w:rPr>
              <w:t>Narrative records for committee review, justification, conditions, accountability, sign-off, and decision provenance.</w:t>
            </w:r>
          </w:p>
        </w:tc>
      </w:tr>
      <w:tr>
        <w:tc>
          <w:tcPr>
            <w:tcW w:type="dxa" w:w="2880"/>
            <w:shd w:fill="F7F1E7"/>
            <w:vAlign w:val="center"/>
            <w:tcMar>
              <w:top w:w="80" w:type="dxa"/>
              <w:start w:w="100" w:type="dxa"/>
              <w:bottom w:w="80" w:type="dxa"/>
              <w:end w:w="100" w:type="dxa"/>
            </w:tcMar>
          </w:tcPr>
          <w:p>
            <w:pPr>
              <w:spacing w:after="0"/>
              <w:jc w:val="left"/>
            </w:pPr>
            <w:r/>
            <w:r>
              <w:rPr>
                <w:rFonts w:ascii="Aptos" w:hAnsi="Aptos"/>
                <w:b w:val="0"/>
                <w:color w:val="25272D"/>
                <w:sz w:val="17"/>
              </w:rPr>
              <w:t>Core workbooks</w:t>
            </w:r>
          </w:p>
        </w:tc>
        <w:tc>
          <w:tcPr>
            <w:tcW w:type="dxa" w:w="6768"/>
            <w:shd w:fill="F7F1E7"/>
            <w:vAlign w:val="center"/>
            <w:tcMar>
              <w:top w:w="80" w:type="dxa"/>
              <w:start w:w="100" w:type="dxa"/>
              <w:bottom w:w="80" w:type="dxa"/>
              <w:end w:w="100" w:type="dxa"/>
            </w:tcMar>
          </w:tcPr>
          <w:p>
            <w:pPr>
              <w:spacing w:after="0"/>
              <w:jc w:val="left"/>
            </w:pPr>
            <w:r/>
            <w:r>
              <w:rPr>
                <w:rFonts w:ascii="Aptos" w:hAnsi="Aptos"/>
                <w:b w:val="0"/>
                <w:color w:val="25272D"/>
                <w:sz w:val="17"/>
              </w:rPr>
              <w:t>Structured spreadsheets for registers, costing, comparison, monitoring, calculations, and repeated review.</w:t>
            </w:r>
          </w:p>
        </w:tc>
      </w:tr>
      <w:tr>
        <w:tc>
          <w:tcPr>
            <w:tcW w:type="dxa" w:w="2880"/>
            <w:shd w:fill="FFFDF8"/>
            <w:vAlign w:val="center"/>
            <w:tcMar>
              <w:top w:w="80" w:type="dxa"/>
              <w:start w:w="100" w:type="dxa"/>
              <w:bottom w:w="80" w:type="dxa"/>
              <w:end w:w="100" w:type="dxa"/>
            </w:tcMar>
          </w:tcPr>
          <w:p>
            <w:pPr>
              <w:spacing w:after="0"/>
              <w:jc w:val="left"/>
            </w:pPr>
            <w:r/>
            <w:r>
              <w:rPr>
                <w:rFonts w:ascii="Aptos" w:hAnsi="Aptos"/>
                <w:b w:val="0"/>
                <w:color w:val="25272D"/>
                <w:sz w:val="17"/>
              </w:rPr>
              <w:t>Worked examples</w:t>
            </w:r>
          </w:p>
        </w:tc>
        <w:tc>
          <w:tcPr>
            <w:tcW w:type="dxa" w:w="6768"/>
            <w:shd w:fill="FFFDF8"/>
            <w:vAlign w:val="center"/>
            <w:tcMar>
              <w:top w:w="80" w:type="dxa"/>
              <w:start w:w="100" w:type="dxa"/>
              <w:bottom w:w="80" w:type="dxa"/>
              <w:end w:w="100" w:type="dxa"/>
            </w:tcMar>
          </w:tcPr>
          <w:p>
            <w:pPr>
              <w:spacing w:after="0"/>
              <w:jc w:val="left"/>
            </w:pPr>
            <w:r/>
            <w:r>
              <w:rPr>
                <w:rFonts w:ascii="Aptos" w:hAnsi="Aptos"/>
                <w:b w:val="0"/>
                <w:color w:val="25272D"/>
                <w:sz w:val="17"/>
              </w:rPr>
              <w:t>Fictional scenarios and synthetic datasets showing how book concepts and companion tools can be applied.</w:t>
            </w:r>
          </w:p>
        </w:tc>
      </w:tr>
      <w:tr>
        <w:tc>
          <w:tcPr>
            <w:tcW w:type="dxa" w:w="2880"/>
            <w:shd w:fill="F7F1E7"/>
            <w:vAlign w:val="center"/>
            <w:tcMar>
              <w:top w:w="80" w:type="dxa"/>
              <w:start w:w="100" w:type="dxa"/>
              <w:bottom w:w="80" w:type="dxa"/>
              <w:end w:w="100" w:type="dxa"/>
            </w:tcMar>
          </w:tcPr>
          <w:p>
            <w:pPr>
              <w:spacing w:after="0"/>
              <w:jc w:val="left"/>
            </w:pPr>
            <w:r/>
            <w:r>
              <w:rPr>
                <w:rFonts w:ascii="Aptos" w:hAnsi="Aptos"/>
                <w:b w:val="0"/>
                <w:color w:val="25272D"/>
                <w:sz w:val="17"/>
              </w:rPr>
              <w:t>Python analytics</w:t>
            </w:r>
          </w:p>
        </w:tc>
        <w:tc>
          <w:tcPr>
            <w:tcW w:type="dxa" w:w="6768"/>
            <w:shd w:fill="F7F1E7"/>
            <w:vAlign w:val="center"/>
            <w:tcMar>
              <w:top w:w="80" w:type="dxa"/>
              <w:start w:w="100" w:type="dxa"/>
              <w:bottom w:w="80" w:type="dxa"/>
              <w:end w:w="100" w:type="dxa"/>
            </w:tcMar>
          </w:tcPr>
          <w:p>
            <w:pPr>
              <w:spacing w:after="0"/>
              <w:jc w:val="left"/>
            </w:pPr>
            <w:r/>
            <w:r>
              <w:rPr>
                <w:rFonts w:ascii="Aptos" w:hAnsi="Aptos"/>
                <w:b w:val="0"/>
                <w:color w:val="25272D"/>
                <w:sz w:val="17"/>
              </w:rPr>
              <w:t>Reproducible modules for data quality, evaluation, modelling, uncertainty, procurement, monitoring, asset life, and sustainable value.</w:t>
            </w:r>
          </w:p>
        </w:tc>
      </w:tr>
      <w:tr>
        <w:tc>
          <w:tcPr>
            <w:tcW w:type="dxa" w:w="2880"/>
            <w:shd w:fill="FFFDF8"/>
            <w:vAlign w:val="center"/>
            <w:tcMar>
              <w:top w:w="80" w:type="dxa"/>
              <w:start w:w="100" w:type="dxa"/>
              <w:bottom w:w="80" w:type="dxa"/>
              <w:end w:w="100" w:type="dxa"/>
            </w:tcMar>
          </w:tcPr>
          <w:p>
            <w:pPr>
              <w:spacing w:after="0"/>
              <w:jc w:val="left"/>
            </w:pPr>
            <w:r/>
            <w:r>
              <w:rPr>
                <w:rFonts w:ascii="Aptos" w:hAnsi="Aptos"/>
                <w:b w:val="0"/>
                <w:color w:val="25272D"/>
                <w:sz w:val="17"/>
              </w:rPr>
              <w:t>Catalogues</w:t>
            </w:r>
          </w:p>
        </w:tc>
        <w:tc>
          <w:tcPr>
            <w:tcW w:type="dxa" w:w="6768"/>
            <w:shd w:fill="FFFDF8"/>
            <w:vAlign w:val="center"/>
            <w:tcMar>
              <w:top w:w="80" w:type="dxa"/>
              <w:start w:w="100" w:type="dxa"/>
              <w:bottom w:w="80" w:type="dxa"/>
              <w:end w:w="100" w:type="dxa"/>
            </w:tcMar>
          </w:tcPr>
          <w:p>
            <w:pPr>
              <w:spacing w:after="0"/>
              <w:jc w:val="left"/>
            </w:pPr>
            <w:r/>
            <w:r>
              <w:rPr>
                <w:rFonts w:ascii="Aptos" w:hAnsi="Aptos"/>
                <w:b w:val="0"/>
                <w:color w:val="25272D"/>
                <w:sz w:val="17"/>
              </w:rPr>
              <w:t>Machine-readable and spreadsheet indexes for resources, figures, tables, cases, Python modules, and relationships.</w:t>
            </w:r>
          </w:p>
        </w:tc>
      </w:tr>
      <w:tr>
        <w:tc>
          <w:tcPr>
            <w:tcW w:type="dxa" w:w="2880"/>
            <w:shd w:fill="F7F1E7"/>
            <w:vAlign w:val="center"/>
            <w:tcMar>
              <w:top w:w="80" w:type="dxa"/>
              <w:start w:w="100" w:type="dxa"/>
              <w:bottom w:w="80" w:type="dxa"/>
              <w:end w:w="100" w:type="dxa"/>
            </w:tcMar>
          </w:tcPr>
          <w:p>
            <w:pPr>
              <w:spacing w:after="0"/>
              <w:jc w:val="left"/>
            </w:pPr>
            <w:r/>
            <w:r>
              <w:rPr>
                <w:rFonts w:ascii="Aptos" w:hAnsi="Aptos"/>
                <w:b w:val="0"/>
                <w:color w:val="25272D"/>
                <w:sz w:val="17"/>
              </w:rPr>
              <w:t>Web Companion</w:t>
            </w:r>
          </w:p>
        </w:tc>
        <w:tc>
          <w:tcPr>
            <w:tcW w:type="dxa" w:w="6768"/>
            <w:shd w:fill="F7F1E7"/>
            <w:vAlign w:val="center"/>
            <w:tcMar>
              <w:top w:w="80" w:type="dxa"/>
              <w:start w:w="100" w:type="dxa"/>
              <w:bottom w:w="80" w:type="dxa"/>
              <w:end w:w="100" w:type="dxa"/>
            </w:tcMar>
          </w:tcPr>
          <w:p>
            <w:pPr>
              <w:spacing w:after="0"/>
              <w:jc w:val="left"/>
            </w:pPr>
            <w:r/>
            <w:r>
              <w:rPr>
                <w:rFonts w:ascii="Aptos" w:hAnsi="Aptos"/>
                <w:b w:val="0"/>
                <w:color w:val="25272D"/>
                <w:sz w:val="17"/>
              </w:rPr>
              <w:t>Browser-based access to current forms, process views, worked examples, catalogues, and decision pathways.</w:t>
            </w:r>
          </w:p>
        </w:tc>
      </w:tr>
    </w:tbl>
    <w:p>
      <w:pPr>
        <w:spacing w:after="0"/>
      </w:pPr>
    </w:p>
    <w:p>
      <w:pPr>
        <w:pStyle w:val="Heading1"/>
        <w:keepNext/>
      </w:pPr>
      <w:r>
        <w:rPr>
          <w:rFonts w:ascii="Aptos Display" w:hAnsi="Aptos Display"/>
        </w:rPr>
        <w:t>The five core resource families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C7AA74"/>
            <w:vAlign w:val="center"/>
            <w:tcMar>
              <w:top w:w="80" w:type="dxa"/>
              <w:start w:w="100" w:type="dxa"/>
              <w:bottom w:w="80" w:type="dxa"/>
              <w:end w:w="100" w:type="dxa"/>
            </w:tcMar>
          </w:tcPr>
          <w:p>
            <w:pPr>
              <w:spacing w:after="0"/>
              <w:jc w:val="center"/>
            </w:pPr>
            <w:r/>
            <w:r>
              <w:rPr>
                <w:rFonts w:ascii="Aptos" w:hAnsi="Aptos"/>
                <w:b/>
                <w:color w:val="25272D"/>
                <w:sz w:val="18"/>
              </w:rPr>
              <w:t>Family</w:t>
            </w:r>
          </w:p>
        </w:tc>
        <w:tc>
          <w:tcPr>
            <w:tcW w:type="dxa" w:w="5400"/>
            <w:shd w:fill="C7AA74"/>
            <w:vAlign w:val="center"/>
            <w:tcMar>
              <w:top w:w="80" w:type="dxa"/>
              <w:start w:w="100" w:type="dxa"/>
              <w:bottom w:w="80" w:type="dxa"/>
              <w:end w:w="100" w:type="dxa"/>
            </w:tcMar>
          </w:tcPr>
          <w:p>
            <w:pPr>
              <w:spacing w:after="0"/>
              <w:jc w:val="center"/>
            </w:pPr>
            <w:r/>
            <w:r>
              <w:rPr>
                <w:rFonts w:ascii="Aptos" w:hAnsi="Aptos"/>
                <w:b/>
                <w:color w:val="25272D"/>
                <w:sz w:val="18"/>
              </w:rPr>
              <w:t>Scope</w:t>
            </w:r>
          </w:p>
        </w:tc>
        <w:tc>
          <w:tcPr>
            <w:tcW w:type="dxa" w:w="1944"/>
            <w:shd w:fill="C7AA74"/>
            <w:vAlign w:val="center"/>
            <w:tcMar>
              <w:top w:w="80" w:type="dxa"/>
              <w:start w:w="100" w:type="dxa"/>
              <w:bottom w:w="80" w:type="dxa"/>
              <w:end w:w="100" w:type="dxa"/>
            </w:tcMar>
          </w:tcPr>
          <w:p>
            <w:pPr>
              <w:spacing w:after="0"/>
              <w:jc w:val="center"/>
            </w:pPr>
            <w:r/>
            <w:r>
              <w:rPr>
                <w:rFonts w:ascii="Aptos" w:hAnsi="Aptos"/>
                <w:b/>
                <w:color w:val="25272D"/>
                <w:sz w:val="18"/>
              </w:rPr>
              <w:t>Core record IDs</w:t>
            </w:r>
          </w:p>
        </w:tc>
      </w:tr>
      <w:tr>
        <w:tc>
          <w:tcPr>
            <w:tcW w:type="dxa" w:w="2304"/>
            <w:shd w:fill="FFFDF8"/>
            <w:vAlign w:val="center"/>
            <w:tcMar>
              <w:top w:w="80" w:type="dxa"/>
              <w:start w:w="100" w:type="dxa"/>
              <w:bottom w:w="80" w:type="dxa"/>
              <w:end w:w="100" w:type="dxa"/>
            </w:tcMar>
          </w:tcPr>
          <w:p>
            <w:pPr>
              <w:spacing w:after="0"/>
              <w:jc w:val="left"/>
            </w:pPr>
            <w:r/>
            <w:r>
              <w:rPr>
                <w:rFonts w:ascii="Aptos" w:hAnsi="Aptos"/>
                <w:b w:val="0"/>
                <w:color w:val="25272D"/>
                <w:sz w:val="17"/>
              </w:rPr>
              <w:t>A — Decision framing, participation, readiness, and data</w:t>
            </w:r>
          </w:p>
        </w:tc>
        <w:tc>
          <w:tcPr>
            <w:tcW w:type="dxa" w:w="5400"/>
            <w:shd w:fill="FFFDF8"/>
            <w:vAlign w:val="center"/>
            <w:tcMar>
              <w:top w:w="80" w:type="dxa"/>
              <w:start w:w="100" w:type="dxa"/>
              <w:bottom w:w="80" w:type="dxa"/>
              <w:end w:w="100" w:type="dxa"/>
            </w:tcMar>
          </w:tcPr>
          <w:p>
            <w:pPr>
              <w:spacing w:after="0"/>
              <w:jc w:val="left"/>
            </w:pPr>
            <w:r/>
            <w:r>
              <w:rPr>
                <w:rFonts w:ascii="Aptos" w:hAnsi="Aptos"/>
                <w:b w:val="0"/>
                <w:color w:val="25272D"/>
                <w:sz w:val="17"/>
              </w:rPr>
              <w:t>Decision specification, stakeholders, institutional readiness, and data fitness.</w:t>
            </w:r>
          </w:p>
        </w:tc>
        <w:tc>
          <w:tcPr>
            <w:tcW w:type="dxa" w:w="1944"/>
            <w:shd w:fill="FFFDF8"/>
            <w:vAlign w:val="center"/>
            <w:tcMar>
              <w:top w:w="80" w:type="dxa"/>
              <w:start w:w="100" w:type="dxa"/>
              <w:bottom w:w="80" w:type="dxa"/>
              <w:end w:w="100" w:type="dxa"/>
            </w:tcMar>
          </w:tcPr>
          <w:p>
            <w:pPr>
              <w:spacing w:after="0"/>
              <w:jc w:val="left"/>
            </w:pPr>
            <w:r/>
            <w:r>
              <w:rPr>
                <w:rFonts w:ascii="Aptos" w:hAnsi="Aptos"/>
                <w:b w:val="0"/>
                <w:color w:val="25272D"/>
                <w:sz w:val="17"/>
              </w:rPr>
              <w:t>AIHE-A01 to AIHE-A04</w:t>
            </w:r>
          </w:p>
        </w:tc>
      </w:tr>
      <w:tr>
        <w:tc>
          <w:tcPr>
            <w:tcW w:type="dxa" w:w="2304"/>
            <w:shd w:fill="F7F1E7"/>
            <w:vAlign w:val="center"/>
            <w:tcMar>
              <w:top w:w="80" w:type="dxa"/>
              <w:start w:w="100" w:type="dxa"/>
              <w:bottom w:w="80" w:type="dxa"/>
              <w:end w:w="100" w:type="dxa"/>
            </w:tcMar>
          </w:tcPr>
          <w:p>
            <w:pPr>
              <w:spacing w:after="0"/>
              <w:jc w:val="left"/>
            </w:pPr>
            <w:r/>
            <w:r>
              <w:rPr>
                <w:rFonts w:ascii="Aptos" w:hAnsi="Aptos"/>
                <w:b w:val="0"/>
                <w:color w:val="25272D"/>
                <w:sz w:val="17"/>
              </w:rPr>
              <w:t>B — Economics, affordability, benefits, and modelling</w:t>
            </w:r>
          </w:p>
        </w:tc>
        <w:tc>
          <w:tcPr>
            <w:tcW w:type="dxa" w:w="5400"/>
            <w:shd w:fill="F7F1E7"/>
            <w:vAlign w:val="center"/>
            <w:tcMar>
              <w:top w:w="80" w:type="dxa"/>
              <w:start w:w="100" w:type="dxa"/>
              <w:bottom w:w="80" w:type="dxa"/>
              <w:end w:w="100" w:type="dxa"/>
            </w:tcMar>
          </w:tcPr>
          <w:p>
            <w:pPr>
              <w:spacing w:after="0"/>
              <w:jc w:val="left"/>
            </w:pPr>
            <w:r/>
            <w:r>
              <w:rPr>
                <w:rFonts w:ascii="Aptos" w:hAnsi="Aptos"/>
                <w:b w:val="0"/>
                <w:color w:val="25272D"/>
                <w:sz w:val="17"/>
              </w:rPr>
              <w:t>Economic specification, lifecycle cost, capacity conversion, HTA, modelling, uncertainty, and reproducibility.</w:t>
            </w:r>
          </w:p>
        </w:tc>
        <w:tc>
          <w:tcPr>
            <w:tcW w:type="dxa" w:w="1944"/>
            <w:shd w:fill="F7F1E7"/>
            <w:vAlign w:val="center"/>
            <w:tcMar>
              <w:top w:w="80" w:type="dxa"/>
              <w:start w:w="100" w:type="dxa"/>
              <w:bottom w:w="80" w:type="dxa"/>
              <w:end w:w="100" w:type="dxa"/>
            </w:tcMar>
          </w:tcPr>
          <w:p>
            <w:pPr>
              <w:spacing w:after="0"/>
              <w:jc w:val="left"/>
            </w:pPr>
            <w:r/>
            <w:r>
              <w:rPr>
                <w:rFonts w:ascii="Aptos" w:hAnsi="Aptos"/>
                <w:b w:val="0"/>
                <w:color w:val="25272D"/>
                <w:sz w:val="17"/>
              </w:rPr>
              <w:t>AIHE-B01 to AIHE-B05</w:t>
            </w:r>
          </w:p>
        </w:tc>
      </w:tr>
      <w:tr>
        <w:tc>
          <w:tcPr>
            <w:tcW w:type="dxa" w:w="2304"/>
            <w:shd w:fill="FFFDF8"/>
            <w:vAlign w:val="center"/>
            <w:tcMar>
              <w:top w:w="80" w:type="dxa"/>
              <w:start w:w="100" w:type="dxa"/>
              <w:bottom w:w="80" w:type="dxa"/>
              <w:end w:w="100" w:type="dxa"/>
            </w:tcMar>
          </w:tcPr>
          <w:p>
            <w:pPr>
              <w:spacing w:after="0"/>
              <w:jc w:val="left"/>
            </w:pPr>
            <w:r/>
            <w:r>
              <w:rPr>
                <w:rFonts w:ascii="Aptos" w:hAnsi="Aptos"/>
                <w:b w:val="0"/>
                <w:color w:val="25272D"/>
                <w:sz w:val="17"/>
              </w:rPr>
              <w:t>C — Quality, risk, accountability, and communication</w:t>
            </w:r>
          </w:p>
        </w:tc>
        <w:tc>
          <w:tcPr>
            <w:tcW w:type="dxa" w:w="5400"/>
            <w:shd w:fill="FFFDF8"/>
            <w:vAlign w:val="center"/>
            <w:tcMar>
              <w:top w:w="80" w:type="dxa"/>
              <w:start w:w="100" w:type="dxa"/>
              <w:bottom w:w="80" w:type="dxa"/>
              <w:end w:w="100" w:type="dxa"/>
            </w:tcMar>
          </w:tcPr>
          <w:p>
            <w:pPr>
              <w:spacing w:after="0"/>
              <w:jc w:val="left"/>
            </w:pPr>
            <w:r/>
            <w:r>
              <w:rPr>
                <w:rFonts w:ascii="Aptos" w:hAnsi="Aptos"/>
                <w:b w:val="0"/>
                <w:color w:val="25272D"/>
                <w:sz w:val="17"/>
              </w:rPr>
              <w:t>Quality control, corrective action, institutional risk, human oversight, and public communication.</w:t>
            </w:r>
          </w:p>
        </w:tc>
        <w:tc>
          <w:tcPr>
            <w:tcW w:type="dxa" w:w="1944"/>
            <w:shd w:fill="FFFDF8"/>
            <w:vAlign w:val="center"/>
            <w:tcMar>
              <w:top w:w="80" w:type="dxa"/>
              <w:start w:w="100" w:type="dxa"/>
              <w:bottom w:w="80" w:type="dxa"/>
              <w:end w:w="100" w:type="dxa"/>
            </w:tcMar>
          </w:tcPr>
          <w:p>
            <w:pPr>
              <w:spacing w:after="0"/>
              <w:jc w:val="left"/>
            </w:pPr>
            <w:r/>
            <w:r>
              <w:rPr>
                <w:rFonts w:ascii="Aptos" w:hAnsi="Aptos"/>
                <w:b w:val="0"/>
                <w:color w:val="25272D"/>
                <w:sz w:val="17"/>
              </w:rPr>
              <w:t>AIHE-C01 to AIHE-C05</w:t>
            </w:r>
          </w:p>
        </w:tc>
      </w:tr>
      <w:tr>
        <w:tc>
          <w:tcPr>
            <w:tcW w:type="dxa" w:w="2304"/>
            <w:shd w:fill="F7F1E7"/>
            <w:vAlign w:val="center"/>
            <w:tcMar>
              <w:top w:w="80" w:type="dxa"/>
              <w:start w:w="100" w:type="dxa"/>
              <w:bottom w:w="80" w:type="dxa"/>
              <w:end w:w="100" w:type="dxa"/>
            </w:tcMar>
          </w:tcPr>
          <w:p>
            <w:pPr>
              <w:spacing w:after="0"/>
              <w:jc w:val="left"/>
            </w:pPr>
            <w:r/>
            <w:r>
              <w:rPr>
                <w:rFonts w:ascii="Aptos" w:hAnsi="Aptos"/>
                <w:b w:val="0"/>
                <w:color w:val="25272D"/>
                <w:sz w:val="17"/>
              </w:rPr>
              <w:t>D — Procurement and lifecycle governance</w:t>
            </w:r>
          </w:p>
        </w:tc>
        <w:tc>
          <w:tcPr>
            <w:tcW w:type="dxa" w:w="5400"/>
            <w:shd w:fill="F7F1E7"/>
            <w:vAlign w:val="center"/>
            <w:tcMar>
              <w:top w:w="80" w:type="dxa"/>
              <w:start w:w="100" w:type="dxa"/>
              <w:bottom w:w="80" w:type="dxa"/>
              <w:end w:w="100" w:type="dxa"/>
            </w:tcMar>
          </w:tcPr>
          <w:p>
            <w:pPr>
              <w:spacing w:after="0"/>
              <w:jc w:val="left"/>
            </w:pPr>
            <w:r/>
            <w:r>
              <w:rPr>
                <w:rFonts w:ascii="Aptos" w:hAnsi="Aptos"/>
                <w:b w:val="0"/>
                <w:color w:val="25272D"/>
                <w:sz w:val="17"/>
              </w:rPr>
              <w:t>Vendor requirements, decision states, monitoring, incidents, material change, renewal, replacement, and retirement.</w:t>
            </w:r>
          </w:p>
        </w:tc>
        <w:tc>
          <w:tcPr>
            <w:tcW w:type="dxa" w:w="1944"/>
            <w:shd w:fill="F7F1E7"/>
            <w:vAlign w:val="center"/>
            <w:tcMar>
              <w:top w:w="80" w:type="dxa"/>
              <w:start w:w="100" w:type="dxa"/>
              <w:bottom w:w="80" w:type="dxa"/>
              <w:end w:w="100" w:type="dxa"/>
            </w:tcMar>
          </w:tcPr>
          <w:p>
            <w:pPr>
              <w:spacing w:after="0"/>
              <w:jc w:val="left"/>
            </w:pPr>
            <w:r/>
            <w:r>
              <w:rPr>
                <w:rFonts w:ascii="Aptos" w:hAnsi="Aptos"/>
                <w:b w:val="0"/>
                <w:color w:val="25272D"/>
                <w:sz w:val="17"/>
              </w:rPr>
              <w:t>AIHE-D01 to AIHE-D05</w:t>
            </w:r>
          </w:p>
        </w:tc>
      </w:tr>
      <w:tr>
        <w:tc>
          <w:tcPr>
            <w:tcW w:type="dxa" w:w="2304"/>
            <w:shd w:fill="FFFDF8"/>
            <w:vAlign w:val="center"/>
            <w:tcMar>
              <w:top w:w="80" w:type="dxa"/>
              <w:start w:w="100" w:type="dxa"/>
              <w:bottom w:w="80" w:type="dxa"/>
              <w:end w:w="100" w:type="dxa"/>
            </w:tcMar>
          </w:tcPr>
          <w:p>
            <w:pPr>
              <w:spacing w:after="0"/>
              <w:jc w:val="left"/>
            </w:pPr>
            <w:r/>
            <w:r>
              <w:rPr>
                <w:rFonts w:ascii="Aptos" w:hAnsi="Aptos"/>
                <w:b w:val="0"/>
                <w:color w:val="25272D"/>
                <w:sz w:val="17"/>
              </w:rPr>
              <w:t>E — Circularity, assets, and sustainable value</w:t>
            </w:r>
          </w:p>
        </w:tc>
        <w:tc>
          <w:tcPr>
            <w:tcW w:type="dxa" w:w="5400"/>
            <w:shd w:fill="FFFDF8"/>
            <w:vAlign w:val="center"/>
            <w:tcMar>
              <w:top w:w="80" w:type="dxa"/>
              <w:start w:w="100" w:type="dxa"/>
              <w:bottom w:w="80" w:type="dxa"/>
              <w:end w:w="100" w:type="dxa"/>
            </w:tcMar>
          </w:tcPr>
          <w:p>
            <w:pPr>
              <w:spacing w:after="0"/>
              <w:jc w:val="left"/>
            </w:pPr>
            <w:r/>
            <w:r>
              <w:rPr>
                <w:rFonts w:ascii="Aptos" w:hAnsi="Aptos"/>
                <w:b w:val="0"/>
                <w:color w:val="25272D"/>
                <w:sz w:val="17"/>
              </w:rPr>
              <w:t>Circular-economy assessment, circular procurement, supported asset life, circularity-adjusted evaluation, and disposition monitoring.</w:t>
            </w:r>
          </w:p>
        </w:tc>
        <w:tc>
          <w:tcPr>
            <w:tcW w:type="dxa" w:w="1944"/>
            <w:shd w:fill="FFFDF8"/>
            <w:vAlign w:val="center"/>
            <w:tcMar>
              <w:top w:w="80" w:type="dxa"/>
              <w:start w:w="100" w:type="dxa"/>
              <w:bottom w:w="80" w:type="dxa"/>
              <w:end w:w="100" w:type="dxa"/>
            </w:tcMar>
          </w:tcPr>
          <w:p>
            <w:pPr>
              <w:spacing w:after="0"/>
              <w:jc w:val="left"/>
            </w:pPr>
            <w:r/>
            <w:r>
              <w:rPr>
                <w:rFonts w:ascii="Aptos" w:hAnsi="Aptos"/>
                <w:b w:val="0"/>
                <w:color w:val="25272D"/>
                <w:sz w:val="17"/>
              </w:rPr>
              <w:t>AIHE-E01 to AIHE-E05</w:t>
            </w:r>
          </w:p>
        </w:tc>
      </w:tr>
    </w:tbl>
    <w:p>
      <w:pPr>
        <w:spacing w:after="0"/>
      </w:pPr>
    </w:p>
    <w:p>
      <w:pPr>
        <w:pStyle w:val="BodyText"/>
      </w:pPr>
      <w:r>
        <w:t>The resource families are not mandatory sequences. A decision should use only the records needed to make assumptions, evidence, responsibilities, safeguards, resource consequences, and lifecycle conditions sufficiently explicit.</w:t>
      </w:r>
    </w:p>
    <w:p>
      <w:pPr>
        <w:pStyle w:val="Heading1"/>
        <w:keepNext/>
      </w:pPr>
      <w:r>
        <w:rPr>
          <w:rFonts w:ascii="Aptos Display" w:hAnsi="Aptos Display"/>
        </w:rPr>
        <w:t>Recommended institutional sequence</w:t>
      </w:r>
    </w:p>
    <w:p>
      <w:pPr>
        <w:pStyle w:val="ListNumber"/>
        <w:spacing w:after="100"/>
      </w:pPr>
      <w:r>
        <w:t>Define the service problem, affected population, setting, intended use, accountable decision-maker, and realistic comparator.</w:t>
      </w:r>
    </w:p>
    <w:p>
      <w:pPr>
        <w:pStyle w:val="ListNumber"/>
        <w:spacing w:after="100"/>
      </w:pPr>
      <w:r>
        <w:t>Read the aligned book chapter and identify the smallest sufficient companion resource set.</w:t>
      </w:r>
    </w:p>
    <w:p>
      <w:pPr>
        <w:pStyle w:val="ListNumber"/>
        <w:spacing w:after="100"/>
      </w:pPr>
      <w:r>
        <w:t>Review the corresponding worked example and distinguish its synthetic assumptions from evidence needed locally.</w:t>
      </w:r>
    </w:p>
    <w:p>
      <w:pPr>
        <w:pStyle w:val="ListNumber"/>
        <w:spacing w:after="100"/>
      </w:pPr>
      <w:r>
        <w:t>Create a governed local copy of each selected record or workbook.</w:t>
      </w:r>
    </w:p>
    <w:p>
      <w:pPr>
        <w:pStyle w:val="ListNumber"/>
        <w:spacing w:after="100"/>
      </w:pPr>
      <w:r>
        <w:t>Replace illustrative content with authorized, versioned local evidence and preserve important unknowns or disagreements.</w:t>
      </w:r>
    </w:p>
    <w:p>
      <w:pPr>
        <w:pStyle w:val="ListNumber"/>
        <w:spacing w:after="100"/>
      </w:pPr>
      <w:r>
        <w:t>Complete multidisciplinary review proportionate to consequence, uncertainty, scale, reversibility, and institutional dependence.</w:t>
      </w:r>
    </w:p>
    <w:p>
      <w:pPr>
        <w:pStyle w:val="ListNumber"/>
        <w:spacing w:after="100"/>
      </w:pPr>
      <w:r>
        <w:t>Record the current decision state, conditions, mandatory safeguards, monitoring thresholds, transition triggers, accountable authority, next review date, and credible exit route.</w:t>
      </w:r>
    </w:p>
    <w:p>
      <w:pPr>
        <w:pStyle w:val="ListNumber"/>
        <w:spacing w:after="100"/>
      </w:pPr>
      <w:r>
        <w:t>Reconsider the decision after material change, new evidence, an incident, changed costs, renewal, restriction, replacement, or retirement.</w:t>
      </w:r>
    </w:p>
    <w:p>
      <w:r>
        <w:br w:type="page"/>
      </w:r>
    </w:p>
    <w:p>
      <w:pPr>
        <w:pStyle w:val="Heading1"/>
        <w:keepNext/>
      </w:pPr>
      <w:r>
        <w:rPr>
          <w:rFonts w:ascii="Aptos Display" w:hAnsi="Aptos Display"/>
        </w:rPr>
        <w:t>Decision lifecycle at a glance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C7AA74"/>
            <w:vAlign w:val="center"/>
            <w:tcMar>
              <w:top w:w="80" w:type="dxa"/>
              <w:start w:w="100" w:type="dxa"/>
              <w:bottom w:w="80" w:type="dxa"/>
              <w:end w:w="100" w:type="dxa"/>
            </w:tcMar>
          </w:tcPr>
          <w:p>
            <w:pPr>
              <w:spacing w:after="0"/>
              <w:jc w:val="center"/>
            </w:pPr>
            <w:r/>
            <w:r>
              <w:rPr>
                <w:rFonts w:ascii="Aptos" w:hAnsi="Aptos"/>
                <w:b/>
                <w:color w:val="25272D"/>
                <w:sz w:val="18"/>
              </w:rPr>
              <w:t>Stage</w:t>
            </w:r>
          </w:p>
        </w:tc>
        <w:tc>
          <w:tcPr>
            <w:tcW w:type="dxa" w:w="4968"/>
            <w:shd w:fill="C7AA74"/>
            <w:vAlign w:val="center"/>
            <w:tcMar>
              <w:top w:w="80" w:type="dxa"/>
              <w:start w:w="100" w:type="dxa"/>
              <w:bottom w:w="80" w:type="dxa"/>
              <w:end w:w="100" w:type="dxa"/>
            </w:tcMar>
          </w:tcPr>
          <w:p>
            <w:pPr>
              <w:spacing w:after="0"/>
              <w:jc w:val="center"/>
            </w:pPr>
            <w:r/>
            <w:r>
              <w:rPr>
                <w:rFonts w:ascii="Aptos" w:hAnsi="Aptos"/>
                <w:b/>
                <w:color w:val="25272D"/>
                <w:sz w:val="18"/>
              </w:rPr>
              <w:t>Principal question</w:t>
            </w:r>
          </w:p>
        </w:tc>
        <w:tc>
          <w:tcPr>
            <w:tcW w:type="dxa" w:w="2736"/>
            <w:shd w:fill="C7AA74"/>
            <w:vAlign w:val="center"/>
            <w:tcMar>
              <w:top w:w="80" w:type="dxa"/>
              <w:start w:w="100" w:type="dxa"/>
              <w:bottom w:w="80" w:type="dxa"/>
              <w:end w:w="100" w:type="dxa"/>
            </w:tcMar>
          </w:tcPr>
          <w:p>
            <w:pPr>
              <w:spacing w:after="0"/>
              <w:jc w:val="center"/>
            </w:pPr>
            <w:r/>
            <w:r>
              <w:rPr>
                <w:rFonts w:ascii="Aptos" w:hAnsi="Aptos"/>
                <w:b/>
                <w:color w:val="25272D"/>
                <w:sz w:val="18"/>
              </w:rPr>
              <w:t>Typical companion records</w:t>
            </w:r>
          </w:p>
        </w:tc>
      </w:tr>
      <w:tr>
        <w:tc>
          <w:tcPr>
            <w:tcW w:type="dxa" w:w="1944"/>
            <w:shd w:fill="FFFDF8"/>
            <w:vAlign w:val="center"/>
            <w:tcMar>
              <w:top w:w="80" w:type="dxa"/>
              <w:start w:w="100" w:type="dxa"/>
              <w:bottom w:w="80" w:type="dxa"/>
              <w:end w:w="100" w:type="dxa"/>
            </w:tcMar>
          </w:tcPr>
          <w:p>
            <w:pPr>
              <w:spacing w:after="0"/>
              <w:jc w:val="left"/>
            </w:pPr>
            <w:r/>
            <w:r>
              <w:rPr>
                <w:rFonts w:ascii="Aptos" w:hAnsi="Aptos"/>
                <w:b w:val="0"/>
                <w:color w:val="25272D"/>
                <w:sz w:val="17"/>
              </w:rPr>
              <w:t>1. Define the decision</w:t>
            </w:r>
          </w:p>
        </w:tc>
        <w:tc>
          <w:tcPr>
            <w:tcW w:type="dxa" w:w="4968"/>
            <w:shd w:fill="FFFDF8"/>
            <w:vAlign w:val="center"/>
            <w:tcMar>
              <w:top w:w="80" w:type="dxa"/>
              <w:start w:w="100" w:type="dxa"/>
              <w:bottom w:w="80" w:type="dxa"/>
              <w:end w:w="100" w:type="dxa"/>
            </w:tcMar>
          </w:tcPr>
          <w:p>
            <w:pPr>
              <w:spacing w:after="0"/>
              <w:jc w:val="left"/>
            </w:pPr>
            <w:r/>
            <w:r>
              <w:rPr>
                <w:rFonts w:ascii="Aptos" w:hAnsi="Aptos"/>
                <w:b w:val="0"/>
                <w:color w:val="25272D"/>
                <w:sz w:val="17"/>
              </w:rPr>
              <w:t>What problem is being addressed, compared with what, for whom, and under whose authority?</w:t>
            </w:r>
          </w:p>
        </w:tc>
        <w:tc>
          <w:tcPr>
            <w:tcW w:type="dxa" w:w="2736"/>
            <w:shd w:fill="FFFDF8"/>
            <w:vAlign w:val="center"/>
            <w:tcMar>
              <w:top w:w="80" w:type="dxa"/>
              <w:start w:w="100" w:type="dxa"/>
              <w:bottom w:w="80" w:type="dxa"/>
              <w:end w:w="100" w:type="dxa"/>
            </w:tcMar>
          </w:tcPr>
          <w:p>
            <w:pPr>
              <w:spacing w:after="0"/>
              <w:jc w:val="left"/>
            </w:pPr>
            <w:r/>
            <w:r>
              <w:rPr>
                <w:rFonts w:ascii="Aptos" w:hAnsi="Aptos"/>
                <w:b w:val="0"/>
                <w:color w:val="25272D"/>
                <w:sz w:val="17"/>
              </w:rPr>
              <w:t>AIHE-A01; AIHE-A02</w:t>
            </w:r>
          </w:p>
        </w:tc>
      </w:tr>
      <w:tr>
        <w:tc>
          <w:tcPr>
            <w:tcW w:type="dxa" w:w="1944"/>
            <w:shd w:fill="F7F1E7"/>
            <w:vAlign w:val="center"/>
            <w:tcMar>
              <w:top w:w="80" w:type="dxa"/>
              <w:start w:w="100" w:type="dxa"/>
              <w:bottom w:w="80" w:type="dxa"/>
              <w:end w:w="100" w:type="dxa"/>
            </w:tcMar>
          </w:tcPr>
          <w:p>
            <w:pPr>
              <w:spacing w:after="0"/>
              <w:jc w:val="left"/>
            </w:pPr>
            <w:r/>
            <w:r>
              <w:rPr>
                <w:rFonts w:ascii="Aptos" w:hAnsi="Aptos"/>
                <w:b w:val="0"/>
                <w:color w:val="25272D"/>
                <w:sz w:val="17"/>
              </w:rPr>
              <w:t>2. Assess readiness and data</w:t>
            </w:r>
          </w:p>
        </w:tc>
        <w:tc>
          <w:tcPr>
            <w:tcW w:type="dxa" w:w="4968"/>
            <w:shd w:fill="F7F1E7"/>
            <w:vAlign w:val="center"/>
            <w:tcMar>
              <w:top w:w="80" w:type="dxa"/>
              <w:start w:w="100" w:type="dxa"/>
              <w:bottom w:w="80" w:type="dxa"/>
              <w:end w:w="100" w:type="dxa"/>
            </w:tcMar>
          </w:tcPr>
          <w:p>
            <w:pPr>
              <w:spacing w:after="0"/>
              <w:jc w:val="left"/>
            </w:pPr>
            <w:r/>
            <w:r>
              <w:rPr>
                <w:rFonts w:ascii="Aptos" w:hAnsi="Aptos"/>
                <w:b w:val="0"/>
                <w:color w:val="25272D"/>
                <w:sz w:val="17"/>
              </w:rPr>
              <w:t>Are the required data, infrastructure, workforce, workflow, governance, and service capabilities adequate?</w:t>
            </w:r>
          </w:p>
        </w:tc>
        <w:tc>
          <w:tcPr>
            <w:tcW w:type="dxa" w:w="2736"/>
            <w:shd w:fill="F7F1E7"/>
            <w:vAlign w:val="center"/>
            <w:tcMar>
              <w:top w:w="80" w:type="dxa"/>
              <w:start w:w="100" w:type="dxa"/>
              <w:bottom w:w="80" w:type="dxa"/>
              <w:end w:w="100" w:type="dxa"/>
            </w:tcMar>
          </w:tcPr>
          <w:p>
            <w:pPr>
              <w:spacing w:after="0"/>
              <w:jc w:val="left"/>
            </w:pPr>
            <w:r/>
            <w:r>
              <w:rPr>
                <w:rFonts w:ascii="Aptos" w:hAnsi="Aptos"/>
                <w:b w:val="0"/>
                <w:color w:val="25272D"/>
                <w:sz w:val="17"/>
              </w:rPr>
              <w:t>AIHE-A03; AIHE-A04</w:t>
            </w:r>
          </w:p>
        </w:tc>
      </w:tr>
      <w:tr>
        <w:tc>
          <w:tcPr>
            <w:tcW w:type="dxa" w:w="1944"/>
            <w:shd w:fill="FFFDF8"/>
            <w:vAlign w:val="center"/>
            <w:tcMar>
              <w:top w:w="80" w:type="dxa"/>
              <w:start w:w="100" w:type="dxa"/>
              <w:bottom w:w="80" w:type="dxa"/>
              <w:end w:w="100" w:type="dxa"/>
            </w:tcMar>
          </w:tcPr>
          <w:p>
            <w:pPr>
              <w:spacing w:after="0"/>
              <w:jc w:val="left"/>
            </w:pPr>
            <w:r/>
            <w:r>
              <w:rPr>
                <w:rFonts w:ascii="Aptos" w:hAnsi="Aptos"/>
                <w:b w:val="0"/>
                <w:color w:val="25272D"/>
                <w:sz w:val="17"/>
              </w:rPr>
              <w:t>3. Establish evidence and quality requirements</w:t>
            </w:r>
          </w:p>
        </w:tc>
        <w:tc>
          <w:tcPr>
            <w:tcW w:type="dxa" w:w="4968"/>
            <w:shd w:fill="FFFDF8"/>
            <w:vAlign w:val="center"/>
            <w:tcMar>
              <w:top w:w="80" w:type="dxa"/>
              <w:start w:w="100" w:type="dxa"/>
              <w:bottom w:w="80" w:type="dxa"/>
              <w:end w:w="100" w:type="dxa"/>
            </w:tcMar>
          </w:tcPr>
          <w:p>
            <w:pPr>
              <w:spacing w:after="0"/>
              <w:jc w:val="left"/>
            </w:pPr>
            <w:r/>
            <w:r>
              <w:rPr>
                <w:rFonts w:ascii="Aptos" w:hAnsi="Aptos"/>
                <w:b w:val="0"/>
                <w:color w:val="25272D"/>
                <w:sz w:val="17"/>
              </w:rPr>
              <w:t>What evidence, validation, quality control, thresholds, and assurance are proportionate to use?</w:t>
            </w:r>
          </w:p>
        </w:tc>
        <w:tc>
          <w:tcPr>
            <w:tcW w:type="dxa" w:w="2736"/>
            <w:shd w:fill="FFFDF8"/>
            <w:vAlign w:val="center"/>
            <w:tcMar>
              <w:top w:w="80" w:type="dxa"/>
              <w:start w:w="100" w:type="dxa"/>
              <w:bottom w:w="80" w:type="dxa"/>
              <w:end w:w="100" w:type="dxa"/>
            </w:tcMar>
          </w:tcPr>
          <w:p>
            <w:pPr>
              <w:spacing w:after="0"/>
              <w:jc w:val="left"/>
            </w:pPr>
            <w:r/>
            <w:r>
              <w:rPr>
                <w:rFonts w:ascii="Aptos" w:hAnsi="Aptos"/>
                <w:b w:val="0"/>
                <w:color w:val="25272D"/>
                <w:sz w:val="17"/>
              </w:rPr>
              <w:t>AIHE-C01; AIHE-C02</w:t>
            </w:r>
          </w:p>
        </w:tc>
      </w:tr>
      <w:tr>
        <w:tc>
          <w:tcPr>
            <w:tcW w:type="dxa" w:w="1944"/>
            <w:shd w:fill="F7F1E7"/>
            <w:vAlign w:val="center"/>
            <w:tcMar>
              <w:top w:w="80" w:type="dxa"/>
              <w:start w:w="100" w:type="dxa"/>
              <w:bottom w:w="80" w:type="dxa"/>
              <w:end w:w="100" w:type="dxa"/>
            </w:tcMar>
          </w:tcPr>
          <w:p>
            <w:pPr>
              <w:spacing w:after="0"/>
              <w:jc w:val="left"/>
            </w:pPr>
            <w:r/>
            <w:r>
              <w:rPr>
                <w:rFonts w:ascii="Aptos" w:hAnsi="Aptos"/>
                <w:b w:val="0"/>
                <w:color w:val="25272D"/>
                <w:sz w:val="17"/>
              </w:rPr>
              <w:t>4. Model cost, value, affordability, and HTA</w:t>
            </w:r>
          </w:p>
        </w:tc>
        <w:tc>
          <w:tcPr>
            <w:tcW w:type="dxa" w:w="4968"/>
            <w:shd w:fill="F7F1E7"/>
            <w:vAlign w:val="center"/>
            <w:tcMar>
              <w:top w:w="80" w:type="dxa"/>
              <w:start w:w="100" w:type="dxa"/>
              <w:bottom w:w="80" w:type="dxa"/>
              <w:end w:w="100" w:type="dxa"/>
            </w:tcMar>
          </w:tcPr>
          <w:p>
            <w:pPr>
              <w:spacing w:after="0"/>
              <w:jc w:val="left"/>
            </w:pPr>
            <w:r/>
            <w:r>
              <w:rPr>
                <w:rFonts w:ascii="Aptos" w:hAnsi="Aptos"/>
                <w:b w:val="0"/>
                <w:color w:val="25272D"/>
                <w:sz w:val="17"/>
              </w:rPr>
              <w:t>What are the lifecycle resources, financial consequences, outcomes, budget effects, and distribution?</w:t>
            </w:r>
          </w:p>
        </w:tc>
        <w:tc>
          <w:tcPr>
            <w:tcW w:type="dxa" w:w="2736"/>
            <w:shd w:fill="F7F1E7"/>
            <w:vAlign w:val="center"/>
            <w:tcMar>
              <w:top w:w="80" w:type="dxa"/>
              <w:start w:w="100" w:type="dxa"/>
              <w:bottom w:w="80" w:type="dxa"/>
              <w:end w:w="100" w:type="dxa"/>
            </w:tcMar>
          </w:tcPr>
          <w:p>
            <w:pPr>
              <w:spacing w:after="0"/>
              <w:jc w:val="left"/>
            </w:pPr>
            <w:r/>
            <w:r>
              <w:rPr>
                <w:rFonts w:ascii="Aptos" w:hAnsi="Aptos"/>
                <w:b w:val="0"/>
                <w:color w:val="25272D"/>
                <w:sz w:val="17"/>
              </w:rPr>
              <w:t>AIHE-B01 to AIHE-B04</w:t>
            </w:r>
          </w:p>
        </w:tc>
      </w:tr>
      <w:tr>
        <w:tc>
          <w:tcPr>
            <w:tcW w:type="dxa" w:w="1944"/>
            <w:shd w:fill="FFFDF8"/>
            <w:vAlign w:val="center"/>
            <w:tcMar>
              <w:top w:w="80" w:type="dxa"/>
              <w:start w:w="100" w:type="dxa"/>
              <w:bottom w:w="80" w:type="dxa"/>
              <w:end w:w="100" w:type="dxa"/>
            </w:tcMar>
          </w:tcPr>
          <w:p>
            <w:pPr>
              <w:spacing w:after="0"/>
              <w:jc w:val="left"/>
            </w:pPr>
            <w:r/>
            <w:r>
              <w:rPr>
                <w:rFonts w:ascii="Aptos" w:hAnsi="Aptos"/>
                <w:b w:val="0"/>
                <w:color w:val="25272D"/>
                <w:sz w:val="17"/>
              </w:rPr>
              <w:t>5. Model uncertainty and research value</w:t>
            </w:r>
          </w:p>
        </w:tc>
        <w:tc>
          <w:tcPr>
            <w:tcW w:type="dxa" w:w="4968"/>
            <w:shd w:fill="FFFDF8"/>
            <w:vAlign w:val="center"/>
            <w:tcMar>
              <w:top w:w="80" w:type="dxa"/>
              <w:start w:w="100" w:type="dxa"/>
              <w:bottom w:w="80" w:type="dxa"/>
              <w:end w:w="100" w:type="dxa"/>
            </w:tcMar>
          </w:tcPr>
          <w:p>
            <w:pPr>
              <w:spacing w:after="0"/>
              <w:jc w:val="left"/>
            </w:pPr>
            <w:r/>
            <w:r>
              <w:rPr>
                <w:rFonts w:ascii="Aptos" w:hAnsi="Aptos"/>
                <w:b w:val="0"/>
                <w:color w:val="25272D"/>
                <w:sz w:val="17"/>
              </w:rPr>
              <w:t>Which model structure is credible, and could further evidence change the decision?</w:t>
            </w:r>
          </w:p>
        </w:tc>
        <w:tc>
          <w:tcPr>
            <w:tcW w:type="dxa" w:w="2736"/>
            <w:shd w:fill="FFFDF8"/>
            <w:vAlign w:val="center"/>
            <w:tcMar>
              <w:top w:w="80" w:type="dxa"/>
              <w:start w:w="100" w:type="dxa"/>
              <w:bottom w:w="80" w:type="dxa"/>
              <w:end w:w="100" w:type="dxa"/>
            </w:tcMar>
          </w:tcPr>
          <w:p>
            <w:pPr>
              <w:spacing w:after="0"/>
              <w:jc w:val="left"/>
            </w:pPr>
            <w:r/>
            <w:r>
              <w:rPr>
                <w:rFonts w:ascii="Aptos" w:hAnsi="Aptos"/>
                <w:b w:val="0"/>
                <w:color w:val="25272D"/>
                <w:sz w:val="17"/>
              </w:rPr>
              <w:t>AIHE-B05</w:t>
            </w:r>
          </w:p>
        </w:tc>
      </w:tr>
      <w:tr>
        <w:tc>
          <w:tcPr>
            <w:tcW w:type="dxa" w:w="1944"/>
            <w:shd w:fill="F7F1E7"/>
            <w:vAlign w:val="center"/>
            <w:tcMar>
              <w:top w:w="80" w:type="dxa"/>
              <w:start w:w="100" w:type="dxa"/>
              <w:bottom w:w="80" w:type="dxa"/>
              <w:end w:w="100" w:type="dxa"/>
            </w:tcMar>
          </w:tcPr>
          <w:p>
            <w:pPr>
              <w:spacing w:after="0"/>
              <w:jc w:val="left"/>
            </w:pPr>
            <w:r/>
            <w:r>
              <w:rPr>
                <w:rFonts w:ascii="Aptos" w:hAnsi="Aptos"/>
                <w:b w:val="0"/>
                <w:color w:val="25272D"/>
                <w:sz w:val="17"/>
              </w:rPr>
              <w:t>6. Assess governance and institutional risk</w:t>
            </w:r>
          </w:p>
        </w:tc>
        <w:tc>
          <w:tcPr>
            <w:tcW w:type="dxa" w:w="4968"/>
            <w:shd w:fill="F7F1E7"/>
            <w:vAlign w:val="center"/>
            <w:tcMar>
              <w:top w:w="80" w:type="dxa"/>
              <w:start w:w="100" w:type="dxa"/>
              <w:bottom w:w="80" w:type="dxa"/>
              <w:end w:w="100" w:type="dxa"/>
            </w:tcMar>
          </w:tcPr>
          <w:p>
            <w:pPr>
              <w:spacing w:after="0"/>
              <w:jc w:val="left"/>
            </w:pPr>
            <w:r/>
            <w:r>
              <w:rPr>
                <w:rFonts w:ascii="Aptos" w:hAnsi="Aptos"/>
                <w:b w:val="0"/>
                <w:color w:val="25272D"/>
                <w:sz w:val="17"/>
              </w:rPr>
              <w:t>Are decision rights, equity, privacy, cybersecurity, continuity, trust, and communication adequate?</w:t>
            </w:r>
          </w:p>
        </w:tc>
        <w:tc>
          <w:tcPr>
            <w:tcW w:type="dxa" w:w="2736"/>
            <w:shd w:fill="F7F1E7"/>
            <w:vAlign w:val="center"/>
            <w:tcMar>
              <w:top w:w="80" w:type="dxa"/>
              <w:start w:w="100" w:type="dxa"/>
              <w:bottom w:w="80" w:type="dxa"/>
              <w:end w:w="100" w:type="dxa"/>
            </w:tcMar>
          </w:tcPr>
          <w:p>
            <w:pPr>
              <w:spacing w:after="0"/>
              <w:jc w:val="left"/>
            </w:pPr>
            <w:r/>
            <w:r>
              <w:rPr>
                <w:rFonts w:ascii="Aptos" w:hAnsi="Aptos"/>
                <w:b w:val="0"/>
                <w:color w:val="25272D"/>
                <w:sz w:val="17"/>
              </w:rPr>
              <w:t>AIHE-C03 to AIHE-C05</w:t>
            </w:r>
          </w:p>
        </w:tc>
      </w:tr>
      <w:tr>
        <w:tc>
          <w:tcPr>
            <w:tcW w:type="dxa" w:w="1944"/>
            <w:shd w:fill="FFFDF8"/>
            <w:vAlign w:val="center"/>
            <w:tcMar>
              <w:top w:w="80" w:type="dxa"/>
              <w:start w:w="100" w:type="dxa"/>
              <w:bottom w:w="80" w:type="dxa"/>
              <w:end w:w="100" w:type="dxa"/>
            </w:tcMar>
          </w:tcPr>
          <w:p>
            <w:pPr>
              <w:spacing w:after="0"/>
              <w:jc w:val="left"/>
            </w:pPr>
            <w:r/>
            <w:r>
              <w:rPr>
                <w:rFonts w:ascii="Aptos" w:hAnsi="Aptos"/>
                <w:b w:val="0"/>
                <w:color w:val="25272D"/>
                <w:sz w:val="17"/>
              </w:rPr>
              <w:t>7. Procure and contract</w:t>
            </w:r>
          </w:p>
        </w:tc>
        <w:tc>
          <w:tcPr>
            <w:tcW w:type="dxa" w:w="4968"/>
            <w:shd w:fill="FFFDF8"/>
            <w:vAlign w:val="center"/>
            <w:tcMar>
              <w:top w:w="80" w:type="dxa"/>
              <w:start w:w="100" w:type="dxa"/>
              <w:bottom w:w="80" w:type="dxa"/>
              <w:end w:w="100" w:type="dxa"/>
            </w:tcMar>
          </w:tcPr>
          <w:p>
            <w:pPr>
              <w:spacing w:after="0"/>
              <w:jc w:val="left"/>
            </w:pPr>
            <w:r/>
            <w:r>
              <w:rPr>
                <w:rFonts w:ascii="Aptos" w:hAnsi="Aptos"/>
                <w:b w:val="0"/>
                <w:color w:val="25272D"/>
                <w:sz w:val="17"/>
              </w:rPr>
              <w:t>Can supplier evidence, pricing, updates, audit rights, portability, remedies, and exit be governed?</w:t>
            </w:r>
          </w:p>
        </w:tc>
        <w:tc>
          <w:tcPr>
            <w:tcW w:type="dxa" w:w="2736"/>
            <w:shd w:fill="FFFDF8"/>
            <w:vAlign w:val="center"/>
            <w:tcMar>
              <w:top w:w="80" w:type="dxa"/>
              <w:start w:w="100" w:type="dxa"/>
              <w:bottom w:w="80" w:type="dxa"/>
              <w:end w:w="100" w:type="dxa"/>
            </w:tcMar>
          </w:tcPr>
          <w:p>
            <w:pPr>
              <w:spacing w:after="0"/>
              <w:jc w:val="left"/>
            </w:pPr>
            <w:r/>
            <w:r>
              <w:rPr>
                <w:rFonts w:ascii="Aptos" w:hAnsi="Aptos"/>
                <w:b w:val="0"/>
                <w:color w:val="25272D"/>
                <w:sz w:val="17"/>
              </w:rPr>
              <w:t>AIHE-D01</w:t>
            </w:r>
          </w:p>
        </w:tc>
      </w:tr>
      <w:tr>
        <w:tc>
          <w:tcPr>
            <w:tcW w:type="dxa" w:w="1944"/>
            <w:shd w:fill="F7F1E7"/>
            <w:vAlign w:val="center"/>
            <w:tcMar>
              <w:top w:w="80" w:type="dxa"/>
              <w:start w:w="100" w:type="dxa"/>
              <w:bottom w:w="80" w:type="dxa"/>
              <w:end w:w="100" w:type="dxa"/>
            </w:tcMar>
          </w:tcPr>
          <w:p>
            <w:pPr>
              <w:spacing w:after="0"/>
              <w:jc w:val="left"/>
            </w:pPr>
            <w:r/>
            <w:r>
              <w:rPr>
                <w:rFonts w:ascii="Aptos" w:hAnsi="Aptos"/>
                <w:b w:val="0"/>
                <w:color w:val="25272D"/>
                <w:sz w:val="17"/>
              </w:rPr>
              <w:t>8. Implement, monitor, and respond</w:t>
            </w:r>
          </w:p>
        </w:tc>
        <w:tc>
          <w:tcPr>
            <w:tcW w:type="dxa" w:w="4968"/>
            <w:shd w:fill="F7F1E7"/>
            <w:vAlign w:val="center"/>
            <w:tcMar>
              <w:top w:w="80" w:type="dxa"/>
              <w:start w:w="100" w:type="dxa"/>
              <w:bottom w:w="80" w:type="dxa"/>
              <w:end w:w="100" w:type="dxa"/>
            </w:tcMar>
          </w:tcPr>
          <w:p>
            <w:pPr>
              <w:spacing w:after="0"/>
              <w:jc w:val="left"/>
            </w:pPr>
            <w:r/>
            <w:r>
              <w:rPr>
                <w:rFonts w:ascii="Aptos" w:hAnsi="Aptos"/>
                <w:b w:val="0"/>
                <w:color w:val="25272D"/>
                <w:sz w:val="17"/>
              </w:rPr>
              <w:t>Does use remain within approved performance, safety, workload, equity, cost, and governance conditions?</w:t>
            </w:r>
          </w:p>
        </w:tc>
        <w:tc>
          <w:tcPr>
            <w:tcW w:type="dxa" w:w="2736"/>
            <w:shd w:fill="F7F1E7"/>
            <w:vAlign w:val="center"/>
            <w:tcMar>
              <w:top w:w="80" w:type="dxa"/>
              <w:start w:w="100" w:type="dxa"/>
              <w:bottom w:w="80" w:type="dxa"/>
              <w:end w:w="100" w:type="dxa"/>
            </w:tcMar>
          </w:tcPr>
          <w:p>
            <w:pPr>
              <w:spacing w:after="0"/>
              <w:jc w:val="left"/>
            </w:pPr>
            <w:r/>
            <w:r>
              <w:rPr>
                <w:rFonts w:ascii="Aptos" w:hAnsi="Aptos"/>
                <w:b w:val="0"/>
                <w:color w:val="25272D"/>
                <w:sz w:val="17"/>
              </w:rPr>
              <w:t>AIHE-D02 to AIHE-D04</w:t>
            </w:r>
          </w:p>
        </w:tc>
      </w:tr>
      <w:tr>
        <w:tc>
          <w:tcPr>
            <w:tcW w:type="dxa" w:w="1944"/>
            <w:shd w:fill="FFFDF8"/>
            <w:vAlign w:val="center"/>
            <w:tcMar>
              <w:top w:w="80" w:type="dxa"/>
              <w:start w:w="100" w:type="dxa"/>
              <w:bottom w:w="80" w:type="dxa"/>
              <w:end w:w="100" w:type="dxa"/>
            </w:tcMar>
          </w:tcPr>
          <w:p>
            <w:pPr>
              <w:spacing w:after="0"/>
              <w:jc w:val="left"/>
            </w:pPr>
            <w:r/>
            <w:r>
              <w:rPr>
                <w:rFonts w:ascii="Aptos" w:hAnsi="Aptos"/>
                <w:b w:val="0"/>
                <w:color w:val="25272D"/>
                <w:sz w:val="17"/>
              </w:rPr>
              <w:t>9. Assess circular and sustainable value</w:t>
            </w:r>
          </w:p>
        </w:tc>
        <w:tc>
          <w:tcPr>
            <w:tcW w:type="dxa" w:w="4968"/>
            <w:shd w:fill="FFFDF8"/>
            <w:vAlign w:val="center"/>
            <w:tcMar>
              <w:top w:w="80" w:type="dxa"/>
              <w:start w:w="100" w:type="dxa"/>
              <w:bottom w:w="80" w:type="dxa"/>
              <w:end w:w="100" w:type="dxa"/>
            </w:tcMar>
          </w:tcPr>
          <w:p>
            <w:pPr>
              <w:spacing w:after="0"/>
              <w:jc w:val="left"/>
            </w:pPr>
            <w:r/>
            <w:r>
              <w:rPr>
                <w:rFonts w:ascii="Aptos" w:hAnsi="Aptos"/>
                <w:b w:val="0"/>
                <w:color w:val="25272D"/>
                <w:sz w:val="17"/>
              </w:rPr>
              <w:t>Can value be preserved while controlling resource demand, supported life, environmental effects, and disposition?</w:t>
            </w:r>
          </w:p>
        </w:tc>
        <w:tc>
          <w:tcPr>
            <w:tcW w:type="dxa" w:w="2736"/>
            <w:shd w:fill="FFFDF8"/>
            <w:vAlign w:val="center"/>
            <w:tcMar>
              <w:top w:w="80" w:type="dxa"/>
              <w:start w:w="100" w:type="dxa"/>
              <w:bottom w:w="80" w:type="dxa"/>
              <w:end w:w="100" w:type="dxa"/>
            </w:tcMar>
          </w:tcPr>
          <w:p>
            <w:pPr>
              <w:spacing w:after="0"/>
              <w:jc w:val="left"/>
            </w:pPr>
            <w:r/>
            <w:r>
              <w:rPr>
                <w:rFonts w:ascii="Aptos" w:hAnsi="Aptos"/>
                <w:b w:val="0"/>
                <w:color w:val="25272D"/>
                <w:sz w:val="17"/>
              </w:rPr>
              <w:t>AIHE-E01 to AIHE-E05</w:t>
            </w:r>
          </w:p>
        </w:tc>
      </w:tr>
      <w:tr>
        <w:tc>
          <w:tcPr>
            <w:tcW w:type="dxa" w:w="1944"/>
            <w:shd w:fill="F7F1E7"/>
            <w:vAlign w:val="center"/>
            <w:tcMar>
              <w:top w:w="80" w:type="dxa"/>
              <w:start w:w="100" w:type="dxa"/>
              <w:bottom w:w="80" w:type="dxa"/>
              <w:end w:w="100" w:type="dxa"/>
            </w:tcMar>
          </w:tcPr>
          <w:p>
            <w:pPr>
              <w:spacing w:after="0"/>
              <w:jc w:val="left"/>
            </w:pPr>
            <w:r/>
            <w:r>
              <w:rPr>
                <w:rFonts w:ascii="Aptos" w:hAnsi="Aptos"/>
                <w:b w:val="0"/>
                <w:color w:val="25272D"/>
                <w:sz w:val="17"/>
              </w:rPr>
              <w:t>10. Renew or end authorization</w:t>
            </w:r>
          </w:p>
        </w:tc>
        <w:tc>
          <w:tcPr>
            <w:tcW w:type="dxa" w:w="4968"/>
            <w:shd w:fill="F7F1E7"/>
            <w:vAlign w:val="center"/>
            <w:tcMar>
              <w:top w:w="80" w:type="dxa"/>
              <w:start w:w="100" w:type="dxa"/>
              <w:bottom w:w="80" w:type="dxa"/>
              <w:end w:w="100" w:type="dxa"/>
            </w:tcMar>
          </w:tcPr>
          <w:p>
            <w:pPr>
              <w:spacing w:after="0"/>
              <w:jc w:val="left"/>
            </w:pPr>
            <w:r/>
            <w:r>
              <w:rPr>
                <w:rFonts w:ascii="Aptos" w:hAnsi="Aptos"/>
                <w:b w:val="0"/>
                <w:color w:val="25272D"/>
                <w:sz w:val="17"/>
              </w:rPr>
              <w:t>Is continuing use still preferable to redesign, restriction, replacement, or retirement?</w:t>
            </w:r>
          </w:p>
        </w:tc>
        <w:tc>
          <w:tcPr>
            <w:tcW w:type="dxa" w:w="2736"/>
            <w:shd w:fill="F7F1E7"/>
            <w:vAlign w:val="center"/>
            <w:tcMar>
              <w:top w:w="80" w:type="dxa"/>
              <w:start w:w="100" w:type="dxa"/>
              <w:bottom w:w="80" w:type="dxa"/>
              <w:end w:w="100" w:type="dxa"/>
            </w:tcMar>
          </w:tcPr>
          <w:p>
            <w:pPr>
              <w:spacing w:after="0"/>
              <w:jc w:val="left"/>
            </w:pPr>
            <w:r/>
            <w:r>
              <w:rPr>
                <w:rFonts w:ascii="Aptos" w:hAnsi="Aptos"/>
                <w:b w:val="0"/>
                <w:color w:val="25272D"/>
                <w:sz w:val="17"/>
              </w:rPr>
              <w:t>AIHE-D02; AIHE-D05</w:t>
            </w:r>
          </w:p>
        </w:tc>
      </w:tr>
    </w:tbl>
    <w:p>
      <w:pPr>
        <w:spacing w:after="0"/>
      </w:pPr>
    </w:p>
    <w:p>
      <w:pPr>
        <w:pStyle w:val="Heading1"/>
        <w:keepNext/>
      </w:pPr>
      <w:r>
        <w:rPr>
          <w:rFonts w:ascii="Aptos Display" w:hAnsi="Aptos Display"/>
        </w:rPr>
        <w:t>Using forms and workbooks together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shd w:fill="C7AA74"/>
            <w:vAlign w:val="center"/>
            <w:tcMar>
              <w:top w:w="80" w:type="dxa"/>
              <w:start w:w="100" w:type="dxa"/>
              <w:bottom w:w="80" w:type="dxa"/>
              <w:end w:w="100" w:type="dxa"/>
            </w:tcMar>
          </w:tcPr>
          <w:p>
            <w:pPr>
              <w:spacing w:after="0"/>
              <w:jc w:val="center"/>
            </w:pPr>
            <w:r/>
            <w:r>
              <w:rPr>
                <w:rFonts w:ascii="Aptos" w:hAnsi="Aptos"/>
                <w:b/>
                <w:color w:val="25272D"/>
                <w:sz w:val="18"/>
              </w:rPr>
              <w:t>Word forms</w:t>
            </w:r>
          </w:p>
        </w:tc>
        <w:tc>
          <w:tcPr>
            <w:tcW w:type="dxa" w:w="4824"/>
            <w:shd w:fill="C7AA74"/>
            <w:vAlign w:val="center"/>
            <w:tcMar>
              <w:top w:w="80" w:type="dxa"/>
              <w:start w:w="100" w:type="dxa"/>
              <w:bottom w:w="80" w:type="dxa"/>
              <w:end w:w="100" w:type="dxa"/>
            </w:tcMar>
          </w:tcPr>
          <w:p>
            <w:pPr>
              <w:spacing w:after="0"/>
              <w:jc w:val="center"/>
            </w:pPr>
            <w:r/>
            <w:r>
              <w:rPr>
                <w:rFonts w:ascii="Aptos" w:hAnsi="Aptos"/>
                <w:b/>
                <w:color w:val="25272D"/>
                <w:sz w:val="18"/>
              </w:rPr>
              <w:t>Excel workbooks</w:t>
            </w:r>
          </w:p>
        </w:tc>
      </w:tr>
      <w:tr>
        <w:tc>
          <w:tcPr>
            <w:tcW w:type="dxa" w:w="4824"/>
            <w:shd w:fill="FFFDF8"/>
            <w:vAlign w:val="center"/>
            <w:tcMar>
              <w:top w:w="80" w:type="dxa"/>
              <w:start w:w="100" w:type="dxa"/>
              <w:bottom w:w="80" w:type="dxa"/>
              <w:end w:w="100" w:type="dxa"/>
            </w:tcMar>
          </w:tcPr>
          <w:p>
            <w:pPr>
              <w:spacing w:after="0"/>
              <w:jc w:val="left"/>
            </w:pPr>
            <w:r/>
            <w:r>
              <w:rPr>
                <w:rFonts w:ascii="Aptos" w:hAnsi="Aptos"/>
                <w:b w:val="0"/>
                <w:color w:val="25272D"/>
                <w:sz w:val="17"/>
              </w:rPr>
              <w:t>Best for narrative justification, committee discussion, conditions, responsibilities, dissent, authorization, and sign-off.</w:t>
            </w:r>
          </w:p>
        </w:tc>
        <w:tc>
          <w:tcPr>
            <w:tcW w:type="dxa" w:w="4824"/>
            <w:shd w:fill="FFFDF8"/>
            <w:vAlign w:val="center"/>
            <w:tcMar>
              <w:top w:w="80" w:type="dxa"/>
              <w:start w:w="100" w:type="dxa"/>
              <w:bottom w:w="80" w:type="dxa"/>
              <w:end w:w="100" w:type="dxa"/>
            </w:tcMar>
          </w:tcPr>
          <w:p>
            <w:pPr>
              <w:spacing w:after="0"/>
              <w:jc w:val="left"/>
            </w:pPr>
            <w:r/>
            <w:r>
              <w:rPr>
                <w:rFonts w:ascii="Aptos" w:hAnsi="Aptos"/>
                <w:b w:val="0"/>
                <w:color w:val="25272D"/>
                <w:sz w:val="17"/>
              </w:rPr>
              <w:t>Best for structured data entry, costing, registers, comparisons, calculations, monitoring, and repeated review.</w:t>
            </w:r>
          </w:p>
        </w:tc>
      </w:tr>
      <w:tr>
        <w:tc>
          <w:tcPr>
            <w:tcW w:type="dxa" w:w="4824"/>
            <w:shd w:fill="F7F1E7"/>
            <w:vAlign w:val="center"/>
            <w:tcMar>
              <w:top w:w="80" w:type="dxa"/>
              <w:start w:w="100" w:type="dxa"/>
              <w:bottom w:w="80" w:type="dxa"/>
              <w:end w:w="100" w:type="dxa"/>
            </w:tcMar>
          </w:tcPr>
          <w:p>
            <w:pPr>
              <w:spacing w:after="0"/>
              <w:jc w:val="left"/>
            </w:pPr>
            <w:r/>
            <w:r>
              <w:rPr>
                <w:rFonts w:ascii="Aptos" w:hAnsi="Aptos"/>
                <w:b w:val="0"/>
                <w:color w:val="25272D"/>
                <w:sz w:val="17"/>
              </w:rPr>
              <w:t>Use the consolidated volume when a committee needs several records in one controlled document.</w:t>
            </w:r>
          </w:p>
        </w:tc>
        <w:tc>
          <w:tcPr>
            <w:tcW w:type="dxa" w:w="4824"/>
            <w:shd w:fill="F7F1E7"/>
            <w:vAlign w:val="center"/>
            <w:tcMar>
              <w:top w:w="80" w:type="dxa"/>
              <w:start w:w="100" w:type="dxa"/>
              <w:bottom w:w="80" w:type="dxa"/>
              <w:end w:w="100" w:type="dxa"/>
            </w:tcMar>
          </w:tcPr>
          <w:p>
            <w:pPr>
              <w:spacing w:after="0"/>
              <w:jc w:val="left"/>
            </w:pPr>
            <w:r/>
            <w:r>
              <w:rPr>
                <w:rFonts w:ascii="Aptos" w:hAnsi="Aptos"/>
                <w:b w:val="0"/>
                <w:color w:val="25272D"/>
                <w:sz w:val="17"/>
              </w:rPr>
              <w:t>Use the consolidated workbook when a project requires several structured records in one file.</w:t>
            </w:r>
          </w:p>
        </w:tc>
      </w:tr>
      <w:tr>
        <w:tc>
          <w:tcPr>
            <w:tcW w:type="dxa" w:w="4824"/>
            <w:shd w:fill="FFFDF8"/>
            <w:vAlign w:val="center"/>
            <w:tcMar>
              <w:top w:w="80" w:type="dxa"/>
              <w:start w:w="100" w:type="dxa"/>
              <w:bottom w:w="80" w:type="dxa"/>
              <w:end w:w="100" w:type="dxa"/>
            </w:tcMar>
          </w:tcPr>
          <w:p>
            <w:pPr>
              <w:spacing w:after="0"/>
              <w:jc w:val="left"/>
            </w:pPr>
            <w:r/>
            <w:r>
              <w:rPr>
                <w:rFonts w:ascii="Aptos" w:hAnsi="Aptos"/>
                <w:b w:val="0"/>
                <w:color w:val="25272D"/>
                <w:sz w:val="17"/>
              </w:rPr>
              <w:t>Use an individual form when only one institutional record is needed.</w:t>
            </w:r>
          </w:p>
        </w:tc>
        <w:tc>
          <w:tcPr>
            <w:tcW w:type="dxa" w:w="4824"/>
            <w:shd w:fill="FFFDF8"/>
            <w:vAlign w:val="center"/>
            <w:tcMar>
              <w:top w:w="80" w:type="dxa"/>
              <w:start w:w="100" w:type="dxa"/>
              <w:bottom w:w="80" w:type="dxa"/>
              <w:end w:w="100" w:type="dxa"/>
            </w:tcMar>
          </w:tcPr>
          <w:p>
            <w:pPr>
              <w:spacing w:after="0"/>
              <w:jc w:val="left"/>
            </w:pPr>
            <w:r/>
            <w:r>
              <w:rPr>
                <w:rFonts w:ascii="Aptos" w:hAnsi="Aptos"/>
                <w:b w:val="0"/>
                <w:color w:val="25272D"/>
                <w:sz w:val="17"/>
              </w:rPr>
              <w:t>Use an individual workbook when a single analytical or tracking task is sufficient.</w:t>
            </w:r>
          </w:p>
        </w:tc>
      </w:tr>
      <w:tr>
        <w:tc>
          <w:tcPr>
            <w:tcW w:type="dxa" w:w="4824"/>
            <w:shd w:fill="F7F1E7"/>
            <w:vAlign w:val="center"/>
            <w:tcMar>
              <w:top w:w="80" w:type="dxa"/>
              <w:start w:w="100" w:type="dxa"/>
              <w:bottom w:w="80" w:type="dxa"/>
              <w:end w:w="100" w:type="dxa"/>
            </w:tcMar>
          </w:tcPr>
          <w:p>
            <w:pPr>
              <w:spacing w:after="0"/>
              <w:jc w:val="left"/>
            </w:pPr>
            <w:r/>
            <w:r>
              <w:rPr>
                <w:rFonts w:ascii="Aptos" w:hAnsi="Aptos"/>
                <w:b w:val="0"/>
                <w:color w:val="25272D"/>
                <w:sz w:val="17"/>
              </w:rPr>
              <w:t>Preserve the resource ID, V1.0, evidence cut-off, intervention version, owner, and local-modification record.</w:t>
            </w:r>
          </w:p>
        </w:tc>
        <w:tc>
          <w:tcPr>
            <w:tcW w:type="dxa" w:w="4824"/>
            <w:shd w:fill="F7F1E7"/>
            <w:vAlign w:val="center"/>
            <w:tcMar>
              <w:top w:w="80" w:type="dxa"/>
              <w:start w:w="100" w:type="dxa"/>
              <w:bottom w:w="80" w:type="dxa"/>
              <w:end w:w="100" w:type="dxa"/>
            </w:tcMar>
          </w:tcPr>
          <w:p>
            <w:pPr>
              <w:spacing w:after="0"/>
              <w:jc w:val="left"/>
            </w:pPr>
            <w:r/>
            <w:r>
              <w:rPr>
                <w:rFonts w:ascii="Aptos" w:hAnsi="Aptos"/>
                <w:b w:val="0"/>
                <w:color w:val="25272D"/>
                <w:sz w:val="17"/>
              </w:rPr>
              <w:t>Preserve the same controls and document data definitions, formula assumptions, and evidence sources.</w:t>
            </w:r>
          </w:p>
        </w:tc>
      </w:tr>
    </w:tbl>
    <w:p>
      <w:pPr>
        <w:spacing w:after="0"/>
      </w:pPr>
    </w:p>
    <w:p>
      <w:pPr>
        <w:pStyle w:val="BodyText"/>
      </w:pPr>
      <w:r>
        <w:t>A form and workbook may be used together. The form provides the narrative institutional record; the workbook provides the structured evidence supporting that record. Neither format should become an uncontrolled substitute for the current decision dossier.</w:t>
      </w:r>
    </w:p>
    <w:p>
      <w:r>
        <w:br w:type="page"/>
      </w:r>
    </w:p>
    <w:p>
      <w:pPr>
        <w:pStyle w:val="Heading1"/>
        <w:keepNext/>
      </w:pPr>
      <w:r>
        <w:rPr>
          <w:rFonts w:ascii="Aptos Display" w:hAnsi="Aptos Display"/>
        </w:rPr>
        <w:t>Worked examples and computational resources</w:t>
      </w:r>
    </w:p>
    <w:p>
      <w:pPr>
        <w:pStyle w:val="BodyText"/>
      </w:pPr>
      <w:r>
        <w:t>Worked examples illustrate the level of specificity needed to connect a service problem with evidence, economics, governance, implementation, monitoring, and lifecycle decisions. The scenarios and datasets are synthetic unless explicitly stated otherwise. They should not be cited as empirical evidence for a local decision.</w:t>
      </w:r>
    </w:p>
    <w:p>
      <w:pPr>
        <w:pStyle w:val="BodyText"/>
      </w:pPr>
      <w:r>
        <w:t>The V1.0 collection contains twenty worked examples, together with AIHE-CASE00 as a common method for analysing a case. Supplementary examples address financial recognition and budget incidence, the expected value of additional evidence, upstream model-provider change, rebound and burden transfer, and the circularity-adjusted evaluation of an AI-assisted remote diagnostic pathway.</w:t>
      </w:r>
    </w:p>
    <w:p>
      <w:pPr>
        <w:pStyle w:val="BodyText"/>
      </w:pPr>
      <w:r>
        <w:t>The Canonical Source contains forty Python analytical modules. Smaller distributions carry a selected set of high-value modules while retaining the full catalogue. Computational results require methodologically appropriate inputs, verification, validation, documented assumptions, and interpretation by people with relevant expertise.</w:t>
      </w:r>
    </w:p>
    <w:p>
      <w:pPr>
        <w:pStyle w:val="Heading1"/>
        <w:keepNext/>
      </w:pPr>
      <w:r>
        <w:rPr>
          <w:rFonts w:ascii="Aptos Display" w:hAnsi="Aptos Display"/>
        </w:rPr>
        <w:t>Version control and reproducibility</w:t>
      </w:r>
    </w:p>
    <w:p>
      <w:pPr>
        <w:pStyle w:val="ListBullet"/>
        <w:spacing w:after="80"/>
      </w:pPr>
      <w:r>
        <w:t>Record the stable resource, case, or module identifier and V1.0.</w:t>
      </w:r>
    </w:p>
    <w:p>
      <w:pPr>
        <w:pStyle w:val="ListBullet"/>
        <w:spacing w:after="80"/>
      </w:pPr>
      <w:r>
        <w:t>Record the date accessed, evidence cut-off, intervention or model version, and local modifications.</w:t>
      </w:r>
    </w:p>
    <w:p>
      <w:pPr>
        <w:pStyle w:val="ListBullet"/>
        <w:spacing w:after="80"/>
      </w:pPr>
      <w:r>
        <w:t>Preserve the exact input data, code, environment, assumptions, and outputs used in consequential analysis.</w:t>
      </w:r>
    </w:p>
    <w:p>
      <w:pPr>
        <w:pStyle w:val="ListBullet"/>
        <w:spacing w:after="80"/>
      </w:pPr>
      <w:r>
        <w:t>Do not rely on printed page numbers as persistent companion identifiers.</w:t>
      </w:r>
    </w:p>
    <w:p>
      <w:pPr>
        <w:pStyle w:val="ListBullet"/>
        <w:spacing w:after="80"/>
      </w:pPr>
      <w:r>
        <w:t>Review regulatory, policy, standards, software, and supplier information for currency before institutional reliance.</w:t>
      </w:r>
    </w:p>
    <w:p>
      <w:pPr>
        <w:pStyle w:val="ListBullet"/>
        <w:spacing w:after="80"/>
      </w:pPr>
      <w:r>
        <w:t>After material change, determine explicitly which prior evidence and authorizations remain applicable.</w:t>
      </w:r>
    </w:p>
    <w:p>
      <w:pPr>
        <w:pStyle w:val="Heading1"/>
        <w:keepNext/>
      </w:pPr>
      <w:r>
        <w:rPr>
          <w:rFonts w:ascii="Aptos Display" w:hAnsi="Aptos Display"/>
        </w:rPr>
        <w:t>Responsible use</w:t>
      </w:r>
    </w:p>
    <w:p>
      <w:pPr>
        <w:pStyle w:val="BodyText"/>
      </w:pPr>
      <w:r>
        <w:t>The companion supports education, structured analysis, research, institutional deliberation, and local adaptation. It is not a validated clinical instrument and does not replace legal, regulatory, clinical, ethical, privacy, cybersecurity, procurement, accreditation, financial, or health technology assessment review.</w:t>
      </w:r>
    </w:p>
    <w:p>
      <w:pPr>
        <w:pStyle w:val="ListBullet"/>
        <w:spacing w:after="80"/>
      </w:pPr>
      <w:r>
        <w:t>Do not enter identifiable patient information, credentials, private keys, confidential contracts, or restricted institutional information into public browser demonstrations or uncontrolled files.</w:t>
      </w:r>
    </w:p>
    <w:p>
      <w:pPr>
        <w:pStyle w:val="ListBullet"/>
        <w:spacing w:after="80"/>
      </w:pPr>
      <w:r>
        <w:t>Do not interpret a completed form, score, or model result as automatic authorization.</w:t>
      </w:r>
    </w:p>
    <w:p>
      <w:pPr>
        <w:pStyle w:val="ListBullet"/>
        <w:spacing w:after="80"/>
      </w:pPr>
      <w:r>
        <w:t>Do not allow favourable aggregate results to override a mandatory safeguard.</w:t>
      </w:r>
    </w:p>
    <w:p>
      <w:pPr>
        <w:pStyle w:val="ListBullet"/>
        <w:spacing w:after="80"/>
      </w:pPr>
      <w:r>
        <w:t>Use accountable human authority for every consequential decision-state transition.</w:t>
      </w:r>
    </w:p>
    <w:p>
      <w:pPr>
        <w:pStyle w:val="ListBullet"/>
        <w:spacing w:after="80"/>
      </w:pPr>
      <w:r>
        <w:t>Maintain a credible route for restriction, rollback, replacement, retirement, and responsible closure.</w:t>
      </w:r>
    </w:p>
    <w:p>
      <w:pPr>
        <w:pStyle w:val="Heading1"/>
        <w:keepNext/>
      </w:pPr>
      <w:r>
        <w:rPr>
          <w:rFonts w:ascii="Aptos Display" w:hAnsi="Aptos Display"/>
        </w:rPr>
        <w:t>Quick links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C7AA74"/>
            <w:vAlign w:val="center"/>
            <w:tcMar>
              <w:top w:w="80" w:type="dxa"/>
              <w:start w:w="100" w:type="dxa"/>
              <w:bottom w:w="80" w:type="dxa"/>
              <w:end w:w="100" w:type="dxa"/>
            </w:tcMar>
          </w:tcPr>
          <w:p>
            <w:pPr>
              <w:spacing w:after="0"/>
              <w:jc w:val="center"/>
            </w:pPr>
            <w:r/>
            <w:r>
              <w:rPr>
                <w:rFonts w:ascii="Aptos" w:hAnsi="Aptos"/>
                <w:b/>
                <w:color w:val="25272D"/>
                <w:sz w:val="18"/>
              </w:rPr>
              <w:t>Resource</w:t>
            </w:r>
          </w:p>
        </w:tc>
        <w:tc>
          <w:tcPr>
            <w:tcW w:type="dxa" w:w="6624"/>
            <w:shd w:fill="C7AA74"/>
            <w:vAlign w:val="center"/>
            <w:tcMar>
              <w:top w:w="80" w:type="dxa"/>
              <w:start w:w="100" w:type="dxa"/>
              <w:bottom w:w="80" w:type="dxa"/>
              <w:end w:w="100" w:type="dxa"/>
            </w:tcMar>
          </w:tcPr>
          <w:p>
            <w:pPr>
              <w:spacing w:after="0"/>
              <w:jc w:val="center"/>
            </w:pPr>
            <w:r/>
            <w:r>
              <w:rPr>
                <w:rFonts w:ascii="Aptos" w:hAnsi="Aptos"/>
                <w:b/>
                <w:color w:val="25272D"/>
                <w:sz w:val="18"/>
              </w:rPr>
              <w:t>Address</w:t>
            </w:r>
          </w:p>
        </w:tc>
      </w:tr>
      <w:tr>
        <w:tc>
          <w:tcPr>
            <w:tcW w:type="dxa" w:w="3024"/>
            <w:shd w:fill="FFFDF8"/>
            <w:vAlign w:val="center"/>
            <w:tcMar>
              <w:top w:w="80" w:type="dxa"/>
              <w:start w:w="100" w:type="dxa"/>
              <w:bottom w:w="80" w:type="dxa"/>
              <w:end w:w="100" w:type="dxa"/>
            </w:tcMar>
          </w:tcPr>
          <w:p>
            <w:pPr>
              <w:spacing w:after="0"/>
              <w:jc w:val="left"/>
            </w:pPr>
            <w:r/>
            <w:r>
              <w:rPr>
                <w:rFonts w:ascii="Aptos" w:hAnsi="Aptos"/>
                <w:b w:val="0"/>
                <w:color w:val="25272D"/>
                <w:sz w:val="17"/>
              </w:rPr>
              <w:t>Web Companion</w:t>
            </w:r>
          </w:p>
        </w:tc>
        <w:tc>
          <w:tcPr>
            <w:tcW w:type="dxa" w:w="6624"/>
            <w:shd w:fill="FFFDF8"/>
            <w:vAlign w:val="center"/>
            <w:tcMar>
              <w:top w:w="80" w:type="dxa"/>
              <w:start w:w="100" w:type="dxa"/>
              <w:bottom w:w="80" w:type="dxa"/>
              <w:end w:w="100" w:type="dxa"/>
            </w:tcMar>
          </w:tcPr>
          <w:p>
            <w:pPr>
              <w:spacing w:after="0"/>
              <w:jc w:val="left"/>
            </w:pPr>
            <w:r/>
            <w:r>
              <w:rPr>
                <w:rFonts w:ascii="Aptos" w:hAnsi="Aptos"/>
                <w:b w:val="0"/>
                <w:color w:val="25272D"/>
                <w:sz w:val="17"/>
              </w:rPr>
              <w:t>https://ai-healthcare-economics.github.io/digital-resource-companion/</w:t>
            </w:r>
          </w:p>
        </w:tc>
      </w:tr>
      <w:tr>
        <w:tc>
          <w:tcPr>
            <w:tcW w:type="dxa" w:w="3024"/>
            <w:shd w:fill="F7F1E7"/>
            <w:vAlign w:val="center"/>
            <w:tcMar>
              <w:top w:w="80" w:type="dxa"/>
              <w:start w:w="100" w:type="dxa"/>
              <w:bottom w:w="80" w:type="dxa"/>
              <w:end w:w="100" w:type="dxa"/>
            </w:tcMar>
          </w:tcPr>
          <w:p>
            <w:pPr>
              <w:spacing w:after="0"/>
              <w:jc w:val="left"/>
            </w:pPr>
            <w:r/>
            <w:r>
              <w:rPr>
                <w:rFonts w:ascii="Aptos" w:hAnsi="Aptos"/>
                <w:b w:val="0"/>
                <w:color w:val="25272D"/>
                <w:sz w:val="17"/>
              </w:rPr>
              <w:t>Canonical GitHub repository</w:t>
            </w:r>
          </w:p>
        </w:tc>
        <w:tc>
          <w:tcPr>
            <w:tcW w:type="dxa" w:w="6624"/>
            <w:shd w:fill="F7F1E7"/>
            <w:vAlign w:val="center"/>
            <w:tcMar>
              <w:top w:w="80" w:type="dxa"/>
              <w:start w:w="100" w:type="dxa"/>
              <w:bottom w:w="80" w:type="dxa"/>
              <w:end w:w="100" w:type="dxa"/>
            </w:tcMar>
          </w:tcPr>
          <w:p>
            <w:pPr>
              <w:spacing w:after="0"/>
              <w:jc w:val="left"/>
            </w:pPr>
            <w:r/>
            <w:r>
              <w:rPr>
                <w:rFonts w:ascii="Aptos" w:hAnsi="Aptos"/>
                <w:b w:val="0"/>
                <w:color w:val="25272D"/>
                <w:sz w:val="17"/>
              </w:rPr>
              <w:t>https://github.com/ai-healthcare-economics/digital-resource-companion</w:t>
            </w:r>
          </w:p>
        </w:tc>
      </w:tr>
      <w:tr>
        <w:tc>
          <w:tcPr>
            <w:tcW w:type="dxa" w:w="3024"/>
            <w:shd w:fill="FFFDF8"/>
            <w:vAlign w:val="center"/>
            <w:tcMar>
              <w:top w:w="80" w:type="dxa"/>
              <w:start w:w="100" w:type="dxa"/>
              <w:bottom w:w="80" w:type="dxa"/>
              <w:end w:w="100" w:type="dxa"/>
            </w:tcMar>
          </w:tcPr>
          <w:p>
            <w:pPr>
              <w:spacing w:after="0"/>
              <w:jc w:val="left"/>
            </w:pPr>
            <w:r/>
            <w:r>
              <w:rPr>
                <w:rFonts w:ascii="Aptos" w:hAnsi="Aptos"/>
                <w:b w:val="0"/>
                <w:color w:val="25272D"/>
                <w:sz w:val="17"/>
              </w:rPr>
              <w:t>GitHub Releases</w:t>
            </w:r>
          </w:p>
        </w:tc>
        <w:tc>
          <w:tcPr>
            <w:tcW w:type="dxa" w:w="6624"/>
            <w:shd w:fill="FFFDF8"/>
            <w:vAlign w:val="center"/>
            <w:tcMar>
              <w:top w:w="80" w:type="dxa"/>
              <w:start w:w="100" w:type="dxa"/>
              <w:bottom w:w="80" w:type="dxa"/>
              <w:end w:w="100" w:type="dxa"/>
            </w:tcMar>
          </w:tcPr>
          <w:p>
            <w:pPr>
              <w:spacing w:after="0"/>
              <w:jc w:val="left"/>
            </w:pPr>
            <w:r/>
            <w:r>
              <w:rPr>
                <w:rFonts w:ascii="Aptos" w:hAnsi="Aptos"/>
                <w:b w:val="0"/>
                <w:color w:val="25272D"/>
                <w:sz w:val="17"/>
              </w:rPr>
              <w:t>https://github.com/ai-healthcare-economics/digital-resource-companion/releases</w:t>
            </w:r>
          </w:p>
        </w:tc>
      </w:tr>
      <w:tr>
        <w:tc>
          <w:tcPr>
            <w:tcW w:type="dxa" w:w="3024"/>
            <w:shd w:fill="F7F1E7"/>
            <w:vAlign w:val="center"/>
            <w:tcMar>
              <w:top w:w="80" w:type="dxa"/>
              <w:start w:w="100" w:type="dxa"/>
              <w:bottom w:w="80" w:type="dxa"/>
              <w:end w:w="100" w:type="dxa"/>
            </w:tcMar>
          </w:tcPr>
          <w:p>
            <w:pPr>
              <w:spacing w:after="0"/>
              <w:jc w:val="left"/>
            </w:pPr>
            <w:r/>
            <w:r>
              <w:rPr>
                <w:rFonts w:ascii="Aptos" w:hAnsi="Aptos"/>
                <w:b w:val="0"/>
                <w:color w:val="25272D"/>
                <w:sz w:val="17"/>
              </w:rPr>
              <w:t>Zenodo V1.0 DOI</w:t>
            </w:r>
          </w:p>
        </w:tc>
        <w:tc>
          <w:tcPr>
            <w:tcW w:type="dxa" w:w="6624"/>
            <w:shd w:fill="F7F1E7"/>
            <w:vAlign w:val="center"/>
            <w:tcMar>
              <w:top w:w="80" w:type="dxa"/>
              <w:start w:w="100" w:type="dxa"/>
              <w:bottom w:w="80" w:type="dxa"/>
              <w:end w:w="100" w:type="dxa"/>
            </w:tcMar>
          </w:tcPr>
          <w:p>
            <w:pPr>
              <w:spacing w:after="0"/>
              <w:jc w:val="left"/>
            </w:pPr>
            <w:r/>
            <w:r>
              <w:rPr>
                <w:rFonts w:ascii="Aptos" w:hAnsi="Aptos"/>
                <w:b w:val="0"/>
                <w:color w:val="25272D"/>
                <w:sz w:val="17"/>
              </w:rPr>
              <w:t>https://doi.org/10.5281/zenodo.21753927</w:t>
            </w:r>
          </w:p>
        </w:tc>
      </w:tr>
    </w:tbl>
    <w:p>
      <w:pPr>
        <w:spacing w:after="0"/>
      </w:pPr>
    </w:p>
    <w:p>
      <w:pPr>
        <w:pStyle w:val="BodyText"/>
      </w:pPr>
      <w:r>
        <w:t>For scholarly or institutional use, cite the version-specific DOI and record the exact companion resource identifier and any local changes.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817C"/>
        <w:sz w:val="16"/>
      </w:rPr>
      <w:t>Artificial Intelligence and Healthcare Economics · Evidence, Value, Governance, and Sustainability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B1734"/>
        <w:sz w:val="16"/>
      </w:rPr>
      <w:t>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527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7B1734"/>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7B1734"/>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5B81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ptos" w:hAnsi="Aptos"/>
      <w:color w:val="25272D"/>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 Digital Resource Companion V1.0</dc:title>
  <dc:subject>Orientation to the Digital Resource Companion for Artificial Intelligence and Healthcare Economics</dc:subject>
  <dc:creator>Muthana Zouri and Carmen Marinela Cumpăt</dc:creator>
  <cp:keywords>health economics, artificial intelligence, digital resource companion, V1.0</cp:keywords>
  <dc:description>generated by python-docx</dc:description>
  <cp:lastModifiedBy/>
  <cp:revision>1</cp:revision>
  <dcterms:created xsi:type="dcterms:W3CDTF">2013-12-23T23:15:00Z</dcterms:created>
  <dcterms:modified xsi:type="dcterms:W3CDTF">2013-12-23T23:15:00Z</dcterms:modified>
  <cp:category/>
</cp:coreProperties>
</file>