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1F4E79"/>
        </w:rPr>
        <w:t>AIHE-W — AI Use-Case Canvas</w:t>
      </w:r>
    </w:p>
    <w:p>
      <w:r>
        <w:rPr>
          <w:rFonts w:ascii="Arial" w:hAnsi="Arial"/>
          <w:color w:val="595959"/>
          <w:sz w:val="17"/>
        </w:rPr>
        <w:t>Current digital location: Resource Set A — Decision Specification and Institutional Readiness. Stable resource ID retained for continuity across companion editions.</w:t>
      </w:r>
    </w:p>
    <w:p>
      <w:pPr>
        <w:jc w:val="centre"/>
      </w:pPr>
      <w:r>
        <w:rPr>
          <w:i/>
          <w:color w:val="595959"/>
        </w:rPr>
        <w:t>AI and Healthcare Economics Companion Resource</w:t>
      </w:r>
    </w:p>
    <w:tbl>
      <w:tblPr>
        <w:tblStyle w:val="TableGrid"/>
        <w:tblW w:type="auto" w:w="0"/>
        <w:jc w:val="centre"/>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AIHE-W</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1: AI as a Health-System Intervention; Chapter 9: Problem-First Procurement and Vendor Governance; Chapter 12: Decision Architecture and Lifecycle Governance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tbl>
      <w:tblPr>
        <w:tblStyle w:val="TableGrid"/>
        <w:tblW w:type="auto" w:w="0"/>
        <w:jc w:val="centre"/>
        <w:tblLook w:firstColumn="1" w:firstRow="1" w:lastColumn="0" w:lastRow="0" w:noHBand="0" w:noVBand="1" w:val="04A0"/>
      </w:tblPr>
      <w:tblGrid>
        <w:gridCol w:w="3456"/>
        <w:gridCol w:w="3456"/>
        <w:gridCol w:w="3456"/>
      </w:tblGrid>
      <w:tr>
        <w:trPr>
          <w:tblHeader w:val="true"/>
        </w:trPr>
        <w:tc>
          <w:tcPr>
            <w:tcW w:type="dxa" w:w="3456"/>
            <w:vAlign w:val="centre"/>
            <w:tcMar>
              <w:top w:w="80" w:type="dxa"/>
              <w:start w:w="80" w:type="dxa"/>
              <w:bottom w:w="80" w:type="dxa"/>
              <w:end w:w="80" w:type="dxa"/>
            </w:tcMar>
            <w:shd w:fill="D9EAF7"/>
          </w:tcPr>
          <w:p>
            <w:r>
              <w:rPr>
                <w:b/>
              </w:rPr>
              <w:t>Field</w:t>
            </w:r>
          </w:p>
        </w:tc>
        <w:tc>
          <w:tcPr>
            <w:tcW w:type="dxa" w:w="3456"/>
            <w:vAlign w:val="centre"/>
            <w:tcMar>
              <w:top w:w="80" w:type="dxa"/>
              <w:start w:w="80" w:type="dxa"/>
              <w:bottom w:w="80" w:type="dxa"/>
              <w:end w:w="80" w:type="dxa"/>
            </w:tcMar>
            <w:shd w:fill="D9EAF7"/>
          </w:tcPr>
          <w:p>
            <w:r>
              <w:rPr>
                <w:b/>
              </w:rPr>
              <w:t>Prompt</w:t>
            </w:r>
          </w:p>
        </w:tc>
        <w:tc>
          <w:tcPr>
            <w:tcW w:type="dxa" w:w="3456"/>
            <w:vAlign w:val="centre"/>
            <w:tcMar>
              <w:top w:w="80" w:type="dxa"/>
              <w:start w:w="80" w:type="dxa"/>
              <w:bottom w:w="80" w:type="dxa"/>
              <w:end w:w="80" w:type="dxa"/>
            </w:tcMar>
            <w:shd w:fill="D9EAF7"/>
          </w:tcPr>
          <w:p>
            <w:r>
              <w:rPr>
                <w:b/>
              </w:rPr>
              <w:t>Response</w:t>
            </w:r>
          </w:p>
        </w:tc>
      </w:tr>
      <w:tr>
        <w:tc>
          <w:tcPr>
            <w:tcW w:type="dxa" w:w="3456"/>
            <w:vAlign w:val="centre"/>
            <w:tcMar>
              <w:top w:w="80" w:type="dxa"/>
              <w:start w:w="80" w:type="dxa"/>
              <w:bottom w:w="80" w:type="dxa"/>
              <w:end w:w="80" w:type="dxa"/>
            </w:tcMar>
          </w:tcPr>
          <w:p>
            <w:r>
              <w:t>Hospital problem</w:t>
            </w:r>
          </w:p>
        </w:tc>
        <w:tc>
          <w:tcPr>
            <w:tcW w:type="dxa" w:w="3456"/>
            <w:vAlign w:val="centre"/>
            <w:tcMar>
              <w:top w:w="80" w:type="dxa"/>
              <w:start w:w="80" w:type="dxa"/>
              <w:bottom w:w="80" w:type="dxa"/>
              <w:end w:w="80" w:type="dxa"/>
            </w:tcMar>
          </w:tcPr>
          <w:p>
            <w:r>
              <w:t>Unplanned 30-day readmissions among adult medical and heart-failure patients are above the regional benchmark and care-management capacity is not targeted consistently.</w:t>
            </w:r>
          </w:p>
        </w:tc>
        <w:tc>
          <w:tcPr>
            <w:tcW w:type="dxa" w:w="3456"/>
            <w:vAlign w:val="centre"/>
            <w:tcMar>
              <w:top w:w="80" w:type="dxa"/>
              <w:start w:w="80" w:type="dxa"/>
              <w:bottom w:w="80" w:type="dxa"/>
              <w:end w:w="80" w:type="dxa"/>
            </w:tcMar>
          </w:tcPr>
          <w:p>
            <w:r>
              <w:t>Unplanned 30-day readmissions among adult medical and heart-failure patients are above the regional benchmark and care-management capacity is not targeted consistently.</w:t>
            </w:r>
          </w:p>
        </w:tc>
      </w:tr>
      <w:tr>
        <w:tc>
          <w:tcPr>
            <w:tcW w:type="dxa" w:w="3456"/>
            <w:vAlign w:val="centre"/>
            <w:tcMar>
              <w:top w:w="80" w:type="dxa"/>
              <w:start w:w="80" w:type="dxa"/>
              <w:bottom w:w="80" w:type="dxa"/>
              <w:end w:w="80" w:type="dxa"/>
            </w:tcMar>
          </w:tcPr>
          <w:p>
            <w:r>
              <w:t>Target users</w:t>
            </w:r>
          </w:p>
        </w:tc>
        <w:tc>
          <w:tcPr>
            <w:tcW w:type="dxa" w:w="3456"/>
            <w:vAlign w:val="centre"/>
            <w:tcMar>
              <w:top w:w="80" w:type="dxa"/>
              <w:start w:w="80" w:type="dxa"/>
              <w:bottom w:w="80" w:type="dxa"/>
              <w:end w:w="80" w:type="dxa"/>
            </w:tcMar>
          </w:tcPr>
          <w:p>
            <w:r>
              <w:t>Discharge coordinators, hospitalists, care-management nurses, quality leaders, and eligible patients.</w:t>
            </w:r>
          </w:p>
        </w:tc>
        <w:tc>
          <w:tcPr>
            <w:tcW w:type="dxa" w:w="3456"/>
            <w:vAlign w:val="centre"/>
            <w:tcMar>
              <w:top w:w="80" w:type="dxa"/>
              <w:start w:w="80" w:type="dxa"/>
              <w:bottom w:w="80" w:type="dxa"/>
              <w:end w:w="80" w:type="dxa"/>
            </w:tcMar>
          </w:tcPr>
          <w:p>
            <w:r>
              <w:t>Discharge coordinators, hospitalists, care-management nurses, quality leaders, and eligible patients.</w:t>
            </w:r>
          </w:p>
        </w:tc>
      </w:tr>
      <w:tr>
        <w:tc>
          <w:tcPr>
            <w:tcW w:type="dxa" w:w="3456"/>
            <w:vAlign w:val="centre"/>
            <w:tcMar>
              <w:top w:w="80" w:type="dxa"/>
              <w:start w:w="80" w:type="dxa"/>
              <w:bottom w:w="80" w:type="dxa"/>
              <w:end w:w="80" w:type="dxa"/>
            </w:tcMar>
          </w:tcPr>
          <w:p>
            <w:r>
              <w:t>Population and setting</w:t>
            </w:r>
          </w:p>
        </w:tc>
        <w:tc>
          <w:tcPr>
            <w:tcW w:type="dxa" w:w="3456"/>
            <w:vAlign w:val="centre"/>
            <w:tcMar>
              <w:top w:w="80" w:type="dxa"/>
              <w:start w:w="80" w:type="dxa"/>
              <w:bottom w:w="80" w:type="dxa"/>
              <w:end w:w="80" w:type="dxa"/>
            </w:tcMar>
          </w:tcPr>
          <w:p>
            <w:r>
              <w:t>Adults discharged from cardiology and general medicine; pilot excludes hospice, planned readmissions, and patients without a valid discharge disposition.</w:t>
            </w:r>
          </w:p>
        </w:tc>
        <w:tc>
          <w:tcPr>
            <w:tcW w:type="dxa" w:w="3456"/>
            <w:vAlign w:val="centre"/>
            <w:tcMar>
              <w:top w:w="80" w:type="dxa"/>
              <w:start w:w="80" w:type="dxa"/>
              <w:bottom w:w="80" w:type="dxa"/>
              <w:end w:w="80" w:type="dxa"/>
            </w:tcMar>
          </w:tcPr>
          <w:p>
            <w:r>
              <w:t>Adults discharged from cardiology and general medicine; pilot excludes hospice, planned readmissions, and patients without a valid discharge disposition.</w:t>
            </w:r>
          </w:p>
        </w:tc>
      </w:tr>
      <w:tr>
        <w:tc>
          <w:tcPr>
            <w:tcW w:type="dxa" w:w="3456"/>
            <w:vAlign w:val="centre"/>
            <w:tcMar>
              <w:top w:w="80" w:type="dxa"/>
              <w:start w:w="80" w:type="dxa"/>
              <w:bottom w:w="80" w:type="dxa"/>
              <w:end w:w="80" w:type="dxa"/>
            </w:tcMar>
          </w:tcPr>
          <w:p>
            <w:r>
              <w:t>AI intervention</w:t>
            </w:r>
          </w:p>
        </w:tc>
        <w:tc>
          <w:tcPr>
            <w:tcW w:type="dxa" w:w="3456"/>
            <w:vAlign w:val="centre"/>
            <w:tcMar>
              <w:top w:w="80" w:type="dxa"/>
              <w:start w:w="80" w:type="dxa"/>
              <w:bottom w:w="80" w:type="dxa"/>
              <w:end w:w="80" w:type="dxa"/>
            </w:tcMar>
          </w:tcPr>
          <w:p>
            <w:r>
              <w:t>A locally validated risk score generated at discharge, reviewed by a clinician, and linked to a tiered follow-up pathway.</w:t>
            </w:r>
          </w:p>
        </w:tc>
        <w:tc>
          <w:tcPr>
            <w:tcW w:type="dxa" w:w="3456"/>
            <w:vAlign w:val="centre"/>
            <w:tcMar>
              <w:top w:w="80" w:type="dxa"/>
              <w:start w:w="80" w:type="dxa"/>
              <w:bottom w:w="80" w:type="dxa"/>
              <w:end w:w="80" w:type="dxa"/>
            </w:tcMar>
          </w:tcPr>
          <w:p>
            <w:r>
              <w:t>A locally validated risk score generated at discharge, reviewed by a clinician, and linked to a tiered follow-up pathway.</w:t>
            </w:r>
          </w:p>
        </w:tc>
      </w:tr>
      <w:tr>
        <w:tc>
          <w:tcPr>
            <w:tcW w:type="dxa" w:w="3456"/>
            <w:vAlign w:val="centre"/>
            <w:tcMar>
              <w:top w:w="80" w:type="dxa"/>
              <w:start w:w="80" w:type="dxa"/>
              <w:bottom w:w="80" w:type="dxa"/>
              <w:end w:w="80" w:type="dxa"/>
            </w:tcMar>
          </w:tcPr>
          <w:p>
            <w:r>
              <w:t>Comparator</w:t>
            </w:r>
          </w:p>
        </w:tc>
        <w:tc>
          <w:tcPr>
            <w:tcW w:type="dxa" w:w="3456"/>
            <w:vAlign w:val="centre"/>
            <w:tcMar>
              <w:top w:w="80" w:type="dxa"/>
              <w:start w:w="80" w:type="dxa"/>
              <w:bottom w:w="80" w:type="dxa"/>
              <w:end w:w="80" w:type="dxa"/>
            </w:tcMar>
          </w:tcPr>
          <w:p>
            <w:r>
              <w:t>Current nurse referral based on clinical judgement and manual high-risk criteria.</w:t>
            </w:r>
          </w:p>
        </w:tc>
        <w:tc>
          <w:tcPr>
            <w:tcW w:type="dxa" w:w="3456"/>
            <w:vAlign w:val="centre"/>
            <w:tcMar>
              <w:top w:w="80" w:type="dxa"/>
              <w:start w:w="80" w:type="dxa"/>
              <w:bottom w:w="80" w:type="dxa"/>
              <w:end w:w="80" w:type="dxa"/>
            </w:tcMar>
          </w:tcPr>
          <w:p>
            <w:r>
              <w:t>Current nurse referral based on clinical judgement and manual high-risk criteria.</w:t>
            </w:r>
          </w:p>
        </w:tc>
      </w:tr>
      <w:tr>
        <w:tc>
          <w:tcPr>
            <w:tcW w:type="dxa" w:w="3456"/>
            <w:vAlign w:val="centre"/>
            <w:tcMar>
              <w:top w:w="80" w:type="dxa"/>
              <w:start w:w="80" w:type="dxa"/>
              <w:bottom w:w="80" w:type="dxa"/>
              <w:end w:w="80" w:type="dxa"/>
            </w:tcMar>
          </w:tcPr>
          <w:p>
            <w:r>
              <w:t>Value mechanism</w:t>
            </w:r>
          </w:p>
        </w:tc>
        <w:tc>
          <w:tcPr>
            <w:tcW w:type="dxa" w:w="3456"/>
            <w:vAlign w:val="centre"/>
            <w:tcMar>
              <w:top w:w="80" w:type="dxa"/>
              <w:start w:w="80" w:type="dxa"/>
              <w:bottom w:w="80" w:type="dxa"/>
              <w:end w:w="80" w:type="dxa"/>
            </w:tcMar>
          </w:tcPr>
          <w:p>
            <w:r>
              <w:t>Earlier identification and more consistent targeting of limited care-management capacity should reduce avoidable readmissions while preserving clinician oversight.</w:t>
            </w:r>
          </w:p>
        </w:tc>
        <w:tc>
          <w:tcPr>
            <w:tcW w:type="dxa" w:w="3456"/>
            <w:vAlign w:val="centre"/>
            <w:tcMar>
              <w:top w:w="80" w:type="dxa"/>
              <w:start w:w="80" w:type="dxa"/>
              <w:bottom w:w="80" w:type="dxa"/>
              <w:end w:w="80" w:type="dxa"/>
            </w:tcMar>
          </w:tcPr>
          <w:p>
            <w:r>
              <w:t>Earlier identification and more consistent targeting of limited care-management capacity should reduce avoidable readmissions while preserving clinician oversight.</w:t>
            </w:r>
          </w:p>
        </w:tc>
      </w:tr>
      <w:tr>
        <w:tc>
          <w:tcPr>
            <w:tcW w:type="dxa" w:w="3456"/>
            <w:vAlign w:val="centre"/>
            <w:tcMar>
              <w:top w:w="80" w:type="dxa"/>
              <w:start w:w="80" w:type="dxa"/>
              <w:bottom w:w="80" w:type="dxa"/>
              <w:end w:w="80" w:type="dxa"/>
            </w:tcMar>
          </w:tcPr>
          <w:p>
            <w:r>
              <w:t>Outcomes</w:t>
            </w:r>
          </w:p>
        </w:tc>
        <w:tc>
          <w:tcPr>
            <w:tcW w:type="dxa" w:w="3456"/>
            <w:vAlign w:val="centre"/>
            <w:tcMar>
              <w:top w:w="80" w:type="dxa"/>
              <w:start w:w="80" w:type="dxa"/>
              <w:bottom w:w="80" w:type="dxa"/>
              <w:end w:w="80" w:type="dxa"/>
            </w:tcMar>
          </w:tcPr>
          <w:p>
            <w:r>
              <w:t>Readmission rate, calibration, positive predictive value at capacity, follow-up completion, patient experience, subgroup performance, staff time, cost per patient reached, and net budget impact.</w:t>
            </w:r>
          </w:p>
        </w:tc>
        <w:tc>
          <w:tcPr>
            <w:tcW w:type="dxa" w:w="3456"/>
            <w:vAlign w:val="centre"/>
            <w:tcMar>
              <w:top w:w="80" w:type="dxa"/>
              <w:start w:w="80" w:type="dxa"/>
              <w:bottom w:w="80" w:type="dxa"/>
              <w:end w:w="80" w:type="dxa"/>
            </w:tcMar>
          </w:tcPr>
          <w:p>
            <w:r>
              <w:t>Readmission rate, calibration, positive predictive value at capacity, follow-up completion, patient experience, subgroup performance, staff time, cost per patient reached, and net budget impact.</w:t>
            </w:r>
          </w:p>
        </w:tc>
      </w:tr>
      <w:tr>
        <w:tc>
          <w:tcPr>
            <w:tcW w:type="dxa" w:w="3456"/>
            <w:vAlign w:val="centre"/>
            <w:tcMar>
              <w:top w:w="80" w:type="dxa"/>
              <w:start w:w="80" w:type="dxa"/>
              <w:bottom w:w="80" w:type="dxa"/>
              <w:end w:w="80" w:type="dxa"/>
            </w:tcMar>
          </w:tcPr>
          <w:p>
            <w:r>
              <w:t>Risks</w:t>
            </w:r>
          </w:p>
        </w:tc>
        <w:tc>
          <w:tcPr>
            <w:tcW w:type="dxa" w:w="3456"/>
            <w:vAlign w:val="centre"/>
            <w:tcMar>
              <w:top w:w="80" w:type="dxa"/>
              <w:start w:w="80" w:type="dxa"/>
              <w:bottom w:w="80" w:type="dxa"/>
              <w:end w:w="80" w:type="dxa"/>
            </w:tcMar>
          </w:tcPr>
          <w:p>
            <w:r>
              <w:t>Missing external-care data, subgroup miscalibration, alert burden, privacy concerns, vendor update risk, and inability to act on more than 100 high-risk patients per month.</w:t>
            </w:r>
          </w:p>
        </w:tc>
        <w:tc>
          <w:tcPr>
            <w:tcW w:type="dxa" w:w="3456"/>
            <w:vAlign w:val="centre"/>
            <w:tcMar>
              <w:top w:w="80" w:type="dxa"/>
              <w:start w:w="80" w:type="dxa"/>
              <w:bottom w:w="80" w:type="dxa"/>
              <w:end w:w="80" w:type="dxa"/>
            </w:tcMar>
          </w:tcPr>
          <w:p>
            <w:r>
              <w:t>Missing external-care data, subgroup miscalibration, alert burden, privacy concerns, vendor update risk, and inability to act on more than 100 high-risk patients per month.</w:t>
            </w:r>
          </w:p>
        </w:tc>
      </w:tr>
      <w:tr>
        <w:tc>
          <w:tcPr>
            <w:tcW w:type="dxa" w:w="3456"/>
            <w:vAlign w:val="centre"/>
            <w:tcMar>
              <w:top w:w="80" w:type="dxa"/>
              <w:start w:w="80" w:type="dxa"/>
              <w:bottom w:w="80" w:type="dxa"/>
              <w:end w:w="80" w:type="dxa"/>
            </w:tcMar>
          </w:tcPr>
          <w:p>
            <w:r>
              <w:t>Decision rule</w:t>
            </w:r>
          </w:p>
        </w:tc>
        <w:tc>
          <w:tcPr>
            <w:tcW w:type="dxa" w:w="3456"/>
            <w:vAlign w:val="centre"/>
            <w:tcMar>
              <w:top w:w="80" w:type="dxa"/>
              <w:start w:w="80" w:type="dxa"/>
              <w:bottom w:w="80" w:type="dxa"/>
              <w:end w:w="80" w:type="dxa"/>
            </w:tcMar>
          </w:tcPr>
          <w:p>
            <w:r>
              <w:t>Proceed to a limited pilot only if local calibration and subgroup thresholds pass, the live pipeline is timely, workload remains feasible, and the three-year budget scenario is affordable.</w:t>
            </w:r>
          </w:p>
        </w:tc>
        <w:tc>
          <w:tcPr>
            <w:tcW w:type="dxa" w:w="3456"/>
            <w:vAlign w:val="centre"/>
            <w:tcMar>
              <w:top w:w="80" w:type="dxa"/>
              <w:start w:w="80" w:type="dxa"/>
              <w:bottom w:w="80" w:type="dxa"/>
              <w:end w:w="80" w:type="dxa"/>
            </w:tcMar>
          </w:tcPr>
          <w:p>
            <w:r>
              <w:t>Proceed to a limited pilot only if local calibration and subgroup thresholds pass, the live pipeline is timely, workload remains feasible, and the three-year budget scenario is affordable.</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AIHE-W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