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AIHE-X — Decision Problem Template</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AIHE-X</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 AI as a Health-System Intervention; Chapter 6: Lifecycle Cost, Pricing, and Benefit Realization; Chapter 7: Economic Evaluation, Affordability, and Health Technology Assessment; Chapter 12: Decision Architecture and Lifecycle Governance; Chapter 8: Decision Modelling, Simulation, and the Value of Information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Element</w:t>
            </w:r>
          </w:p>
        </w:tc>
        <w:tc>
          <w:tcPr>
            <w:tcW w:type="dxa" w:w="3456"/>
            <w:vAlign w:val="centre"/>
            <w:tcMar>
              <w:top w:w="80" w:type="dxa"/>
              <w:start w:w="80" w:type="dxa"/>
              <w:bottom w:w="80" w:type="dxa"/>
              <w:end w:w="80" w:type="dxa"/>
            </w:tcMar>
            <w:shd w:fill="D9EAF7"/>
          </w:tcPr>
          <w:p>
            <w:r>
              <w:rPr>
                <w:b/>
              </w:rPr>
              <w:t>Question</w:t>
            </w:r>
          </w:p>
        </w:tc>
        <w:tc>
          <w:tcPr>
            <w:tcW w:type="dxa" w:w="3456"/>
            <w:vAlign w:val="centre"/>
            <w:tcMar>
              <w:top w:w="80" w:type="dxa"/>
              <w:start w:w="80" w:type="dxa"/>
              <w:bottom w:w="80" w:type="dxa"/>
              <w:end w:w="80" w:type="dxa"/>
            </w:tcMar>
            <w:shd w:fill="D9EAF7"/>
          </w:tcPr>
          <w:p>
            <w:r>
              <w:rPr>
                <w:b/>
              </w:rPr>
              <w:t>Response</w:t>
            </w:r>
          </w:p>
        </w:tc>
      </w:tr>
      <w:tr>
        <w:tc>
          <w:tcPr>
            <w:tcW w:type="dxa" w:w="3456"/>
            <w:vAlign w:val="centre"/>
            <w:tcMar>
              <w:top w:w="80" w:type="dxa"/>
              <w:start w:w="80" w:type="dxa"/>
              <w:bottom w:w="80" w:type="dxa"/>
              <w:end w:w="80" w:type="dxa"/>
            </w:tcMar>
          </w:tcPr>
          <w:p>
            <w:r>
              <w:t>Population</w:t>
            </w:r>
          </w:p>
        </w:tc>
        <w:tc>
          <w:tcPr>
            <w:tcW w:type="dxa" w:w="3456"/>
            <w:vAlign w:val="centre"/>
            <w:tcMar>
              <w:top w:w="80" w:type="dxa"/>
              <w:start w:w="80" w:type="dxa"/>
              <w:bottom w:w="80" w:type="dxa"/>
              <w:end w:w="80" w:type="dxa"/>
            </w:tcMar>
          </w:tcPr>
          <w:p>
            <w:r>
              <w:t>Adults discharged from cardiology and general medicine; pilot excludes hospice, planned readmissions, and patients without a valid discharge disposition.</w:t>
            </w:r>
          </w:p>
        </w:tc>
        <w:tc>
          <w:tcPr>
            <w:tcW w:type="dxa" w:w="3456"/>
            <w:vAlign w:val="centre"/>
            <w:tcMar>
              <w:top w:w="80" w:type="dxa"/>
              <w:start w:w="80" w:type="dxa"/>
              <w:bottom w:w="80" w:type="dxa"/>
              <w:end w:w="80" w:type="dxa"/>
            </w:tcMar>
          </w:tcPr>
          <w:p>
            <w:r>
              <w:t>Adults discharged from cardiology and general medicine; pilot excludes hospice, planned readmissions, and patients without a valid discharge disposition.</w:t>
            </w:r>
          </w:p>
        </w:tc>
      </w:tr>
      <w:tr>
        <w:tc>
          <w:tcPr>
            <w:tcW w:type="dxa" w:w="3456"/>
            <w:vAlign w:val="centre"/>
            <w:tcMar>
              <w:top w:w="80" w:type="dxa"/>
              <w:start w:w="80" w:type="dxa"/>
              <w:bottom w:w="80" w:type="dxa"/>
              <w:end w:w="80" w:type="dxa"/>
            </w:tcMar>
          </w:tcPr>
          <w:p>
            <w:r>
              <w:t>Intervention</w:t>
            </w:r>
          </w:p>
        </w:tc>
        <w:tc>
          <w:tcPr>
            <w:tcW w:type="dxa" w:w="3456"/>
            <w:vAlign w:val="centre"/>
            <w:tcMar>
              <w:top w:w="80" w:type="dxa"/>
              <w:start w:w="80" w:type="dxa"/>
              <w:bottom w:w="80" w:type="dxa"/>
              <w:end w:w="80" w:type="dxa"/>
            </w:tcMar>
          </w:tcPr>
          <w:p>
            <w:r>
              <w:t>A locally validated risk score generated at discharge, reviewed by a clinician, and linked to a tiered follow-up pathway.</w:t>
            </w:r>
          </w:p>
        </w:tc>
        <w:tc>
          <w:tcPr>
            <w:tcW w:type="dxa" w:w="3456"/>
            <w:vAlign w:val="centre"/>
            <w:tcMar>
              <w:top w:w="80" w:type="dxa"/>
              <w:start w:w="80" w:type="dxa"/>
              <w:bottom w:w="80" w:type="dxa"/>
              <w:end w:w="80" w:type="dxa"/>
            </w:tcMar>
          </w:tcPr>
          <w:p>
            <w:r>
              <w:t>A locally validated risk score generated at discharge, reviewed by a clinician, and linked to a tiered follow-up pathway.</w:t>
            </w:r>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tcPr>
          <w:p>
            <w:r>
              <w:t>Current nurse referral based on clinical judgement and manual high-risk criteria.</w:t>
            </w:r>
          </w:p>
        </w:tc>
        <w:tc>
          <w:tcPr>
            <w:tcW w:type="dxa" w:w="3456"/>
            <w:vAlign w:val="centre"/>
            <w:tcMar>
              <w:top w:w="80" w:type="dxa"/>
              <w:start w:w="80" w:type="dxa"/>
              <w:bottom w:w="80" w:type="dxa"/>
              <w:end w:w="80" w:type="dxa"/>
            </w:tcMar>
          </w:tcPr>
          <w:p>
            <w:r>
              <w:t>Current nurse referral based on clinical judgement and manual high-risk criteria.</w:t>
            </w:r>
          </w:p>
        </w:tc>
      </w:tr>
      <w:tr>
        <w:tc>
          <w:tcPr>
            <w:tcW w:type="dxa" w:w="3456"/>
            <w:vAlign w:val="centre"/>
            <w:tcMar>
              <w:top w:w="80" w:type="dxa"/>
              <w:start w:w="80" w:type="dxa"/>
              <w:bottom w:w="80" w:type="dxa"/>
              <w:end w:w="80" w:type="dxa"/>
            </w:tcMar>
          </w:tcPr>
          <w:p>
            <w:r>
              <w:t>Outcomes</w:t>
            </w:r>
          </w:p>
        </w:tc>
        <w:tc>
          <w:tcPr>
            <w:tcW w:type="dxa" w:w="3456"/>
            <w:vAlign w:val="centre"/>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c>
          <w:tcPr>
            <w:tcW w:type="dxa" w:w="3456"/>
            <w:vAlign w:val="centre"/>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r>
      <w:tr>
        <w:tc>
          <w:tcPr>
            <w:tcW w:type="dxa" w:w="3456"/>
            <w:vAlign w:val="centre"/>
            <w:tcMar>
              <w:top w:w="80" w:type="dxa"/>
              <w:start w:w="80" w:type="dxa"/>
              <w:bottom w:w="80" w:type="dxa"/>
              <w:end w:w="80" w:type="dxa"/>
            </w:tcMar>
          </w:tcPr>
          <w:p>
            <w:r>
              <w:t>Perspective</w:t>
            </w:r>
          </w:p>
        </w:tc>
        <w:tc>
          <w:tcPr>
            <w:tcW w:type="dxa" w:w="3456"/>
            <w:vAlign w:val="centre"/>
            <w:tcMar>
              <w:top w:w="80" w:type="dxa"/>
              <w:start w:w="80" w:type="dxa"/>
              <w:bottom w:w="80" w:type="dxa"/>
              <w:end w:w="80" w:type="dxa"/>
            </w:tcMar>
          </w:tcPr>
          <w:p>
            <w:r>
              <w:t>Hospital budget-holder perspective with secondary patient and payer consequences.</w:t>
            </w:r>
          </w:p>
        </w:tc>
        <w:tc>
          <w:tcPr>
            <w:tcW w:type="dxa" w:w="3456"/>
            <w:vAlign w:val="centre"/>
            <w:tcMar>
              <w:top w:w="80" w:type="dxa"/>
              <w:start w:w="80" w:type="dxa"/>
              <w:bottom w:w="80" w:type="dxa"/>
              <w:end w:w="80" w:type="dxa"/>
            </w:tcMar>
          </w:tcPr>
          <w:p>
            <w:r>
              <w:t>Hospital budget-holder perspective with secondary patient and payer consequences.</w:t>
            </w:r>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tcPr>
          <w:p>
            <w:r>
              <w:t>Three-year budget impact and five-year economic value horizon.</w:t>
            </w:r>
          </w:p>
        </w:tc>
        <w:tc>
          <w:tcPr>
            <w:tcW w:type="dxa" w:w="3456"/>
            <w:vAlign w:val="centre"/>
            <w:tcMar>
              <w:top w:w="80" w:type="dxa"/>
              <w:start w:w="80" w:type="dxa"/>
              <w:bottom w:w="80" w:type="dxa"/>
              <w:end w:w="80" w:type="dxa"/>
            </w:tcMar>
          </w:tcPr>
          <w:p>
            <w:r>
              <w:t>Three-year budget impact and five-year economic value horizon.</w:t>
            </w:r>
          </w:p>
        </w:tc>
      </w:tr>
      <w:tr>
        <w:tc>
          <w:tcPr>
            <w:tcW w:type="dxa" w:w="3456"/>
            <w:vAlign w:val="centre"/>
            <w:tcMar>
              <w:top w:w="80" w:type="dxa"/>
              <w:start w:w="80" w:type="dxa"/>
              <w:bottom w:w="80" w:type="dxa"/>
              <w:end w:w="80" w:type="dxa"/>
            </w:tcMar>
          </w:tcPr>
          <w:p>
            <w:r>
              <w:t>Setting</w:t>
            </w:r>
          </w:p>
        </w:tc>
        <w:tc>
          <w:tcPr>
            <w:tcW w:type="dxa" w:w="3456"/>
            <w:vAlign w:val="centre"/>
            <w:tcMar>
              <w:top w:w="80" w:type="dxa"/>
              <w:start w:w="80" w:type="dxa"/>
              <w:bottom w:w="80" w:type="dxa"/>
              <w:end w:w="80" w:type="dxa"/>
            </w:tcMar>
          </w:tcPr>
          <w:p>
            <w:r>
              <w:t>Cardiology and general medicine at one public hospital; readiness level 3 (data-driven).</w:t>
            </w:r>
          </w:p>
        </w:tc>
        <w:tc>
          <w:tcPr>
            <w:tcW w:type="dxa" w:w="3456"/>
            <w:vAlign w:val="centre"/>
            <w:tcMar>
              <w:top w:w="80" w:type="dxa"/>
              <w:start w:w="80" w:type="dxa"/>
              <w:bottom w:w="80" w:type="dxa"/>
              <w:end w:w="80" w:type="dxa"/>
            </w:tcMar>
          </w:tcPr>
          <w:p>
            <w:r>
              <w:t>Cardiology and general medicine at one public hospital; readiness level 3 (data-driven).</w:t>
            </w:r>
          </w:p>
        </w:tc>
      </w:tr>
      <w:tr>
        <w:tc>
          <w:tcPr>
            <w:tcW w:type="dxa" w:w="3456"/>
            <w:vAlign w:val="centre"/>
            <w:tcMar>
              <w:top w:w="80" w:type="dxa"/>
              <w:start w:w="80" w:type="dxa"/>
              <w:bottom w:w="80" w:type="dxa"/>
              <w:end w:w="80" w:type="dxa"/>
            </w:tcMar>
          </w:tcPr>
          <w:p>
            <w:r>
              <w:t>Decision rule</w:t>
            </w:r>
          </w:p>
        </w:tc>
        <w:tc>
          <w:tcPr>
            <w:tcW w:type="dxa" w:w="3456"/>
            <w:vAlign w:val="centre"/>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c>
          <w:tcPr>
            <w:tcW w:type="dxa" w:w="3456"/>
            <w:vAlign w:val="centre"/>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AIHE-X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