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re"/>
      </w:pPr>
      <w:r>
        <w:rPr>
          <w:rFonts w:ascii="Arial" w:hAnsi="Arial"/>
          <w:color w:val="1F4E79"/>
        </w:rPr>
        <w:t>AIHE-X — Decision Problem Template</w:t>
      </w:r>
    </w:p>
    <w:p>
      <w:r>
        <w:rPr>
          <w:rFonts w:ascii="Arial" w:hAnsi="Arial"/>
          <w:color w:val="595959"/>
          <w:sz w:val="17"/>
        </w:rPr>
        <w:t>Current digital location: Resource Set A — Decision Specification and Institutional Readiness. Stable resource ID retained for continuity across companion editions.</w:t>
      </w:r>
    </w:p>
    <w:p>
      <w:pPr>
        <w:jc w:val="centre"/>
      </w:pPr>
      <w:r>
        <w:rPr>
          <w:i/>
          <w:color w:val="595959"/>
        </w:rPr>
        <w:t>AI and Healthcare Economics Companion Resource</w:t>
      </w:r>
    </w:p>
    <w:tbl>
      <w:tblPr>
        <w:tblStyle w:val="TableGrid"/>
        <w:tblW w:type="auto" w:w="0"/>
        <w:jc w:val="centre"/>
        <w:tblLook w:firstColumn="1" w:firstRow="1" w:lastColumn="0" w:lastRow="0" w:noHBand="0" w:noVBand="1" w:val="04A0"/>
      </w:tblPr>
      <w:tblGrid>
        <w:gridCol w:w="5184"/>
        <w:gridCol w:w="5184"/>
      </w:tblGrid>
      <w:tr>
        <w:tc>
          <w:tcPr>
            <w:tcW w:type="dxa" w:w="5184"/>
            <w:shd w:fill="D9EAF7"/>
            <w:tcMar>
              <w:top w:w="80" w:type="dxa"/>
              <w:start w:w="80" w:type="dxa"/>
              <w:bottom w:w="80" w:type="dxa"/>
              <w:end w:w="80" w:type="dxa"/>
            </w:tcMar>
          </w:tcPr>
          <w:p>
            <w:r>
              <w:t>Resource ID</w:t>
            </w:r>
          </w:p>
        </w:tc>
        <w:tc>
          <w:tcPr>
            <w:tcW w:type="dxa" w:w="5184"/>
            <w:tcMar>
              <w:top w:w="80" w:type="dxa"/>
              <w:start w:w="80" w:type="dxa"/>
              <w:bottom w:w="80" w:type="dxa"/>
              <w:end w:w="80" w:type="dxa"/>
            </w:tcMar>
          </w:tcPr>
          <w:p>
            <w:r>
              <w:t>AIHE-X</w:t>
            </w:r>
          </w:p>
        </w:tc>
      </w:tr>
      <w:tr>
        <w:tc>
          <w:tcPr>
            <w:tcW w:type="dxa" w:w="5184"/>
            <w:shd w:fill="D9EAF7"/>
            <w:tcMar>
              <w:top w:w="80" w:type="dxa"/>
              <w:start w:w="80" w:type="dxa"/>
              <w:bottom w:w="80" w:type="dxa"/>
              <w:end w:w="80" w:type="dxa"/>
            </w:tcMar>
          </w:tcPr>
          <w:p>
            <w:r>
              <w:t>Version</w:t>
            </w:r>
          </w:p>
        </w:tc>
        <w:tc>
          <w:tcPr>
            <w:tcW w:type="dxa" w:w="5184"/>
            <w:tcMar>
              <w:top w:w="80" w:type="dxa"/>
              <w:start w:w="80" w:type="dxa"/>
              <w:bottom w:w="80" w:type="dxa"/>
              <w:end w:w="80" w:type="dxa"/>
            </w:tcMar>
            <w:vAlign w:val="centre"/>
          </w:tcPr>
          <w:p>
            <w:pPr>
              <w:jc w:val="left"/>
            </w:pPr>
            <w:r>
              <w:t>6.0.0 | aligned to the fifteen-chapter reference edition and Resource Sets A–E</w:t>
            </w:r>
          </w:p>
        </w:tc>
      </w:tr>
      <w:tr>
        <w:tc>
          <w:tcPr>
            <w:tcW w:type="dxa" w:w="5184"/>
            <w:shd w:fill="D9EAF7"/>
            <w:tcMar>
              <w:top w:w="80" w:type="dxa"/>
              <w:start w:w="80" w:type="dxa"/>
              <w:bottom w:w="80" w:type="dxa"/>
              <w:end w:w="80" w:type="dxa"/>
            </w:tcMar>
          </w:tcPr>
          <w:p>
            <w:r>
              <w:t>Last reviewed</w:t>
            </w:r>
          </w:p>
        </w:tc>
        <w:tc>
          <w:tcPr>
            <w:tcW w:type="dxa" w:w="5184"/>
            <w:tcMar>
              <w:top w:w="80" w:type="dxa"/>
              <w:start w:w="80" w:type="dxa"/>
              <w:bottom w:w="80" w:type="dxa"/>
              <w:end w:w="80" w:type="dxa"/>
            </w:tcMar>
          </w:tcPr>
          <w:p>
            <w:r>
              <w:t>2026-07-26</w:t>
            </w:r>
          </w:p>
        </w:tc>
      </w:tr>
      <w:tr>
        <w:tc>
          <w:tcPr>
            <w:tcW w:type="dxa" w:w="5184"/>
            <w:shd w:fill="D9EAF7"/>
            <w:tcMar>
              <w:top w:w="80" w:type="dxa"/>
              <w:start w:w="80" w:type="dxa"/>
              <w:bottom w:w="80" w:type="dxa"/>
              <w:end w:w="80" w:type="dxa"/>
            </w:tcMar>
          </w:tcPr>
          <w:p>
            <w:r>
              <w:t>Related chapters</w:t>
            </w:r>
          </w:p>
        </w:tc>
        <w:tc>
          <w:tcPr>
            <w:tcW w:type="dxa" w:w="5184"/>
            <w:tcMar>
              <w:top w:w="80" w:type="dxa"/>
              <w:start w:w="80" w:type="dxa"/>
              <w:bottom w:w="80" w:type="dxa"/>
              <w:end w:w="80" w:type="dxa"/>
            </w:tcMar>
            <w:vAlign w:val="centre"/>
          </w:tcPr>
          <w:p>
            <w:pPr>
              <w:jc w:val="left"/>
            </w:pPr>
            <w:r/>
            <w:r>
              <w:rPr>
                <w:b w:val="0"/>
                <w:sz w:val="18"/>
              </w:rPr>
              <w:t>Chapter 1: AI as a Health-System Intervention; Chapter 6: Lifecycle Cost, Pricing, and Benefit Realization; Chapter 7: Economic Evaluation, Affordability, and Health Technology Assessment; Chapter 12: Decision Architecture and Lifecycle Governance; Chapter 8: Decision Modelling, Simulation, and the Value of Information</w:t>
            </w:r>
          </w:p>
        </w:tc>
      </w:tr>
      <w:tr>
        <w:tc>
          <w:tcPr>
            <w:tcW w:type="dxa" w:w="5184"/>
            <w:shd w:fill="D9EAF7"/>
            <w:tcMar>
              <w:top w:w="80" w:type="dxa"/>
              <w:start w:w="80" w:type="dxa"/>
              <w:bottom w:w="80" w:type="dxa"/>
              <w:end w:w="80" w:type="dxa"/>
            </w:tcMar>
          </w:tcPr>
          <w:p>
            <w:r>
              <w:t>Intended users</w:t>
            </w:r>
          </w:p>
        </w:tc>
        <w:tc>
          <w:tcPr>
            <w:tcW w:type="dxa" w:w="5184"/>
            <w:tcMar>
              <w:top w:w="80" w:type="dxa"/>
              <w:start w:w="80" w:type="dxa"/>
              <w:bottom w:w="80" w:type="dxa"/>
              <w:end w:w="80" w:type="dxa"/>
            </w:tcMar>
          </w:tcPr>
          <w:p>
            <w:r>
              <w:t>Students, instructors, hospital managers, clinicians, health economists, informatics, governance, and project teams</w:t>
            </w:r>
          </w:p>
        </w:tc>
      </w:tr>
    </w:tbl>
    <w:p>
      <w:r>
        <w:t>Status: Educational and practice-support instrument. This resource is not a validated clinical, regulatory, legal, or health-technology-assessment instrument. Adapt it to local requirements before use.</w:t>
      </w:r>
    </w:p>
    <w:p>
      <w:pPr>
        <w:pStyle w:val="Heading1"/>
      </w:pPr>
      <w:r>
        <w:t>How to use this resource</w:t>
      </w:r>
    </w:p>
    <w:p>
      <w:r>
        <w:t>Complete the fields with the multidisciplinary team. Record evidence sources, assumptions, limitations, owners, dates, and decision thresholds. Use synthetic or appropriately governed data only. The worked example is fictional and is provided as a synthetic demonstration.</w:t>
      </w:r>
    </w:p>
    <w:tbl>
      <w:tblPr>
        <w:tblStyle w:val="TableGrid"/>
        <w:tblW w:type="auto" w:w="0"/>
        <w:jc w:val="centre"/>
        <w:tblLook w:firstColumn="1" w:firstRow="1" w:lastColumn="0" w:lastRow="0" w:noHBand="0" w:noVBand="1" w:val="04A0"/>
      </w:tblPr>
      <w:tblGrid>
        <w:gridCol w:w="3456"/>
        <w:gridCol w:w="3456"/>
        <w:gridCol w:w="3456"/>
      </w:tblGrid>
      <w:tr>
        <w:trPr>
          <w:tblHeader w:val="true"/>
        </w:trPr>
        <w:tc>
          <w:tcPr>
            <w:tcW w:type="dxa" w:w="3456"/>
            <w:vAlign w:val="centre"/>
            <w:tcMar>
              <w:top w:w="80" w:type="dxa"/>
              <w:start w:w="80" w:type="dxa"/>
              <w:bottom w:w="80" w:type="dxa"/>
              <w:end w:w="80" w:type="dxa"/>
            </w:tcMar>
            <w:shd w:fill="D9EAF7"/>
          </w:tcPr>
          <w:p>
            <w:r>
              <w:rPr>
                <w:b/>
              </w:rPr>
              <w:t>Element</w:t>
            </w:r>
          </w:p>
        </w:tc>
        <w:tc>
          <w:tcPr>
            <w:tcW w:type="dxa" w:w="3456"/>
            <w:vAlign w:val="centre"/>
            <w:tcMar>
              <w:top w:w="80" w:type="dxa"/>
              <w:start w:w="80" w:type="dxa"/>
              <w:bottom w:w="80" w:type="dxa"/>
              <w:end w:w="80" w:type="dxa"/>
            </w:tcMar>
            <w:shd w:fill="D9EAF7"/>
          </w:tcPr>
          <w:p>
            <w:r>
              <w:rPr>
                <w:b/>
              </w:rPr>
              <w:t>Question</w:t>
            </w:r>
          </w:p>
        </w:tc>
        <w:tc>
          <w:tcPr>
            <w:tcW w:type="dxa" w:w="3456"/>
            <w:vAlign w:val="centre"/>
            <w:tcMar>
              <w:top w:w="80" w:type="dxa"/>
              <w:start w:w="80" w:type="dxa"/>
              <w:bottom w:w="80" w:type="dxa"/>
              <w:end w:w="80" w:type="dxa"/>
            </w:tcMar>
            <w:shd w:fill="D9EAF7"/>
          </w:tcPr>
          <w:p>
            <w:r>
              <w:rPr>
                <w:b/>
              </w:rPr>
              <w:t>Response</w:t>
            </w:r>
          </w:p>
        </w:tc>
      </w:tr>
      <w:tr>
        <w:tc>
          <w:tcPr>
            <w:tcW w:type="dxa" w:w="3456"/>
            <w:vAlign w:val="centre"/>
            <w:tcMar>
              <w:top w:w="80" w:type="dxa"/>
              <w:start w:w="80" w:type="dxa"/>
              <w:bottom w:w="80" w:type="dxa"/>
              <w:end w:w="80" w:type="dxa"/>
            </w:tcMar>
          </w:tcPr>
          <w:p>
            <w:r>
              <w:t>Population</w:t>
            </w:r>
          </w:p>
        </w:tc>
        <w:tc>
          <w:tcPr>
            <w:tcW w:type="dxa" w:w="3456"/>
            <w:vAlign w:val="centre"/>
            <w:tcMar>
              <w:top w:w="80" w:type="dxa"/>
              <w:start w:w="80" w:type="dxa"/>
              <w:bottom w:w="80" w:type="dxa"/>
              <w:end w:w="80" w:type="dxa"/>
            </w:tcMar>
            <w:shd w:fill="FFF2CC"/>
          </w:tcPr>
          <w:p>
            <w:sdt>
              <w:sdtPr>
                <w:tag w:val="AIHE_X_F001"/>
                <w:alias w:val="AIHE_X_F001"/>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X_F002"/>
                <w:alias w:val="AIHE_X_F002"/>
                <w:text/>
              </w:sdtPr>
              <w:sdtContent>
                <w:r>
                  <w:t>Click or tap here to enter text.</w:t>
                </w:r>
              </w:sdtContent>
            </w:sdt>
          </w:p>
        </w:tc>
      </w:tr>
      <w:tr>
        <w:tc>
          <w:tcPr>
            <w:tcW w:type="dxa" w:w="3456"/>
            <w:vAlign w:val="centre"/>
            <w:tcMar>
              <w:top w:w="80" w:type="dxa"/>
              <w:start w:w="80" w:type="dxa"/>
              <w:bottom w:w="80" w:type="dxa"/>
              <w:end w:w="80" w:type="dxa"/>
            </w:tcMar>
          </w:tcPr>
          <w:p>
            <w:r>
              <w:t>Intervention</w:t>
            </w:r>
          </w:p>
        </w:tc>
        <w:tc>
          <w:tcPr>
            <w:tcW w:type="dxa" w:w="3456"/>
            <w:vAlign w:val="centre"/>
            <w:tcMar>
              <w:top w:w="80" w:type="dxa"/>
              <w:start w:w="80" w:type="dxa"/>
              <w:bottom w:w="80" w:type="dxa"/>
              <w:end w:w="80" w:type="dxa"/>
            </w:tcMar>
            <w:shd w:fill="FFF2CC"/>
          </w:tcPr>
          <w:p>
            <w:sdt>
              <w:sdtPr>
                <w:tag w:val="AIHE_X_F003"/>
                <w:alias w:val="AIHE_X_F003"/>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X_F004"/>
                <w:alias w:val="AIHE_X_F004"/>
                <w:text/>
              </w:sdtPr>
              <w:sdtContent>
                <w:r>
                  <w:t>Click or tap here to enter text.</w:t>
                </w:r>
              </w:sdtContent>
            </w:sdt>
          </w:p>
        </w:tc>
      </w:tr>
      <w:tr>
        <w:tc>
          <w:tcPr>
            <w:tcW w:type="dxa" w:w="3456"/>
            <w:vAlign w:val="centre"/>
            <w:tcMar>
              <w:top w:w="80" w:type="dxa"/>
              <w:start w:w="80" w:type="dxa"/>
              <w:bottom w:w="80" w:type="dxa"/>
              <w:end w:w="80" w:type="dxa"/>
            </w:tcMar>
          </w:tcPr>
          <w:p>
            <w:r>
              <w:t>Comparator</w:t>
            </w:r>
          </w:p>
        </w:tc>
        <w:tc>
          <w:tcPr>
            <w:tcW w:type="dxa" w:w="3456"/>
            <w:vAlign w:val="centre"/>
            <w:tcMar>
              <w:top w:w="80" w:type="dxa"/>
              <w:start w:w="80" w:type="dxa"/>
              <w:bottom w:w="80" w:type="dxa"/>
              <w:end w:w="80" w:type="dxa"/>
            </w:tcMar>
            <w:shd w:fill="FFF2CC"/>
          </w:tcPr>
          <w:p>
            <w:sdt>
              <w:sdtPr>
                <w:tag w:val="AIHE_X_F005"/>
                <w:alias w:val="AIHE_X_F005"/>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X_F006"/>
                <w:alias w:val="AIHE_X_F006"/>
                <w:text/>
              </w:sdtPr>
              <w:sdtContent>
                <w:r>
                  <w:t>Click or tap here to enter text.</w:t>
                </w:r>
              </w:sdtContent>
            </w:sdt>
          </w:p>
        </w:tc>
      </w:tr>
      <w:tr>
        <w:tc>
          <w:tcPr>
            <w:tcW w:type="dxa" w:w="3456"/>
            <w:vAlign w:val="centre"/>
            <w:tcMar>
              <w:top w:w="80" w:type="dxa"/>
              <w:start w:w="80" w:type="dxa"/>
              <w:bottom w:w="80" w:type="dxa"/>
              <w:end w:w="80" w:type="dxa"/>
            </w:tcMar>
          </w:tcPr>
          <w:p>
            <w:r>
              <w:t>Outcomes</w:t>
            </w:r>
          </w:p>
        </w:tc>
        <w:tc>
          <w:tcPr>
            <w:tcW w:type="dxa" w:w="3456"/>
            <w:vAlign w:val="centre"/>
            <w:tcMar>
              <w:top w:w="80" w:type="dxa"/>
              <w:start w:w="80" w:type="dxa"/>
              <w:bottom w:w="80" w:type="dxa"/>
              <w:end w:w="80" w:type="dxa"/>
            </w:tcMar>
            <w:shd w:fill="FFF2CC"/>
          </w:tcPr>
          <w:p>
            <w:sdt>
              <w:sdtPr>
                <w:tag w:val="AIHE_X_F007"/>
                <w:alias w:val="AIHE_X_F007"/>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X_F008"/>
                <w:alias w:val="AIHE_X_F008"/>
                <w:text/>
              </w:sdtPr>
              <w:sdtContent>
                <w:r>
                  <w:t>Click or tap here to enter text.</w:t>
                </w:r>
              </w:sdtContent>
            </w:sdt>
          </w:p>
        </w:tc>
      </w:tr>
      <w:tr>
        <w:tc>
          <w:tcPr>
            <w:tcW w:type="dxa" w:w="3456"/>
            <w:vAlign w:val="centre"/>
            <w:tcMar>
              <w:top w:w="80" w:type="dxa"/>
              <w:start w:w="80" w:type="dxa"/>
              <w:bottom w:w="80" w:type="dxa"/>
              <w:end w:w="80" w:type="dxa"/>
            </w:tcMar>
          </w:tcPr>
          <w:p>
            <w:r>
              <w:t>Perspective</w:t>
            </w:r>
          </w:p>
        </w:tc>
        <w:tc>
          <w:tcPr>
            <w:tcW w:type="dxa" w:w="3456"/>
            <w:vAlign w:val="centre"/>
            <w:tcMar>
              <w:top w:w="80" w:type="dxa"/>
              <w:start w:w="80" w:type="dxa"/>
              <w:bottom w:w="80" w:type="dxa"/>
              <w:end w:w="80" w:type="dxa"/>
            </w:tcMar>
            <w:shd w:fill="FFF2CC"/>
          </w:tcPr>
          <w:p>
            <w:sdt>
              <w:sdtPr>
                <w:tag w:val="AIHE_X_F009"/>
                <w:alias w:val="AIHE_X_F009"/>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X_F010"/>
                <w:alias w:val="AIHE_X_F010"/>
                <w:text/>
              </w:sdtPr>
              <w:sdtContent>
                <w:r>
                  <w:t>Click or tap here to enter text.</w:t>
                </w:r>
              </w:sdtContent>
            </w:sdt>
          </w:p>
        </w:tc>
      </w:tr>
      <w:tr>
        <w:tc>
          <w:tcPr>
            <w:tcW w:type="dxa" w:w="3456"/>
            <w:vAlign w:val="centre"/>
            <w:tcMar>
              <w:top w:w="80" w:type="dxa"/>
              <w:start w:w="80" w:type="dxa"/>
              <w:bottom w:w="80" w:type="dxa"/>
              <w:end w:w="80" w:type="dxa"/>
            </w:tcMar>
          </w:tcPr>
          <w:p>
            <w:r>
              <w:t>Time horizon</w:t>
            </w:r>
          </w:p>
        </w:tc>
        <w:tc>
          <w:tcPr>
            <w:tcW w:type="dxa" w:w="3456"/>
            <w:vAlign w:val="centre"/>
            <w:tcMar>
              <w:top w:w="80" w:type="dxa"/>
              <w:start w:w="80" w:type="dxa"/>
              <w:bottom w:w="80" w:type="dxa"/>
              <w:end w:w="80" w:type="dxa"/>
            </w:tcMar>
            <w:shd w:fill="FFF2CC"/>
          </w:tcPr>
          <w:p>
            <w:sdt>
              <w:sdtPr>
                <w:tag w:val="AIHE_X_F011"/>
                <w:alias w:val="AIHE_X_F011"/>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X_F012"/>
                <w:alias w:val="AIHE_X_F012"/>
                <w:text/>
              </w:sdtPr>
              <w:sdtContent>
                <w:r>
                  <w:t>Click or tap here to enter text.</w:t>
                </w:r>
              </w:sdtContent>
            </w:sdt>
          </w:p>
        </w:tc>
      </w:tr>
      <w:tr>
        <w:tc>
          <w:tcPr>
            <w:tcW w:type="dxa" w:w="3456"/>
            <w:vAlign w:val="centre"/>
            <w:tcMar>
              <w:top w:w="80" w:type="dxa"/>
              <w:start w:w="80" w:type="dxa"/>
              <w:bottom w:w="80" w:type="dxa"/>
              <w:end w:w="80" w:type="dxa"/>
            </w:tcMar>
          </w:tcPr>
          <w:p>
            <w:r>
              <w:t>Setting</w:t>
            </w:r>
          </w:p>
        </w:tc>
        <w:tc>
          <w:tcPr>
            <w:tcW w:type="dxa" w:w="3456"/>
            <w:vAlign w:val="centre"/>
            <w:tcMar>
              <w:top w:w="80" w:type="dxa"/>
              <w:start w:w="80" w:type="dxa"/>
              <w:bottom w:w="80" w:type="dxa"/>
              <w:end w:w="80" w:type="dxa"/>
            </w:tcMar>
            <w:shd w:fill="FFF2CC"/>
          </w:tcPr>
          <w:p>
            <w:sdt>
              <w:sdtPr>
                <w:tag w:val="AIHE_X_F013"/>
                <w:alias w:val="AIHE_X_F013"/>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X_F014"/>
                <w:alias w:val="AIHE_X_F014"/>
                <w:text/>
              </w:sdtPr>
              <w:sdtContent>
                <w:r>
                  <w:t>Click or tap here to enter text.</w:t>
                </w:r>
              </w:sdtContent>
            </w:sdt>
          </w:p>
        </w:tc>
      </w:tr>
      <w:tr>
        <w:tc>
          <w:tcPr>
            <w:tcW w:type="dxa" w:w="3456"/>
            <w:vAlign w:val="centre"/>
            <w:tcMar>
              <w:top w:w="80" w:type="dxa"/>
              <w:start w:w="80" w:type="dxa"/>
              <w:bottom w:w="80" w:type="dxa"/>
              <w:end w:w="80" w:type="dxa"/>
            </w:tcMar>
          </w:tcPr>
          <w:p>
            <w:r>
              <w:t>Decision rule</w:t>
            </w:r>
          </w:p>
        </w:tc>
        <w:tc>
          <w:tcPr>
            <w:tcW w:type="dxa" w:w="3456"/>
            <w:vAlign w:val="centre"/>
            <w:tcMar>
              <w:top w:w="80" w:type="dxa"/>
              <w:start w:w="80" w:type="dxa"/>
              <w:bottom w:w="80" w:type="dxa"/>
              <w:end w:w="80" w:type="dxa"/>
            </w:tcMar>
            <w:shd w:fill="FFF2CC"/>
          </w:tcPr>
          <w:p>
            <w:sdt>
              <w:sdtPr>
                <w:tag w:val="AIHE_X_F015"/>
                <w:alias w:val="AIHE_X_F015"/>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X_F016"/>
                <w:alias w:val="AIHE_X_F016"/>
                <w:text/>
              </w:sdtPr>
              <w:sdtContent>
                <w:r>
                  <w:t>Click or tap here to enter text.</w:t>
                </w:r>
              </w:sdtContent>
            </w:sdt>
          </w:p>
        </w:tc>
      </w:tr>
    </w:tbl>
    <w:p/>
    <w:p>
      <w:pPr>
        <w:pStyle w:val="Heading1"/>
      </w:pPr>
      <w:r>
        <w:t>Decision and review record</w:t>
      </w:r>
    </w:p>
    <w:p>
      <w:r>
        <w:rPr>
          <w:b/>
        </w:rPr>
        <w:t xml:space="preserve">Overall conclusion: </w:t>
      </w:r>
      <w:sdt>
        <w:sdtPr>
          <w:tag w:val="AIHE_X_F017"/>
          <w:alias w:val="AIHE_X_F017"/>
          <w:text/>
        </w:sdtPr>
        <w:sdtContent>
          <w:r>
            <w:t>Click or tap here to enter text.</w:t>
          </w:r>
        </w:sdtContent>
      </w:sdt>
    </w:p>
    <w:p>
      <w:r>
        <w:rPr>
          <w:b/>
        </w:rPr>
        <w:t xml:space="preserve">Required conditions or remediation: </w:t>
      </w:r>
      <w:sdt>
        <w:sdtPr>
          <w:tag w:val="AIHE_X_F018"/>
          <w:alias w:val="AIHE_X_F018"/>
          <w:text/>
        </w:sdtPr>
        <w:sdtContent>
          <w:r>
            <w:t>Click or tap here to enter text.</w:t>
          </w:r>
        </w:sdtContent>
      </w:sdt>
    </w:p>
    <w:p>
      <w:r>
        <w:rPr>
          <w:b/>
        </w:rPr>
        <w:t xml:space="preserve">Accountable owner: </w:t>
      </w:r>
      <w:sdt>
        <w:sdtPr>
          <w:tag w:val="AIHE_X_F019"/>
          <w:alias w:val="AIHE_X_F019"/>
          <w:text/>
        </w:sdtPr>
        <w:sdtContent>
          <w:r>
            <w:t>Click or tap here to enter text.</w:t>
          </w:r>
        </w:sdtContent>
      </w:sdt>
    </w:p>
    <w:p>
      <w:r>
        <w:rPr>
          <w:b/>
        </w:rPr>
        <w:t xml:space="preserve">Approval date: </w:t>
      </w:r>
      <w:sdt>
        <w:sdtPr>
          <w:tag w:val="AIHE_X_F020"/>
          <w:alias w:val="AIHE_X_F020"/>
          <w:text/>
        </w:sdtPr>
        <w:sdtContent>
          <w:r>
            <w:t>Click or tap here to enter text.</w:t>
          </w:r>
        </w:sdtContent>
      </w:sdt>
    </w:p>
    <w:p>
      <w:r>
        <w:rPr>
          <w:b/>
        </w:rPr>
        <w:t xml:space="preserve">Next review date: </w:t>
      </w:r>
      <w:sdt>
        <w:sdtPr>
          <w:tag w:val="AIHE_X_F021"/>
          <w:alias w:val="AIHE_X_F021"/>
          <w:text/>
        </w:sdtPr>
        <w:sdtContent>
          <w:r>
            <w:t>Click or tap here to enter text.</w:t>
          </w:r>
        </w:sdtContent>
      </w:sdt>
    </w:p>
    <w:p>
      <w:r>
        <w:rPr>
          <w:b/>
        </w:rPr>
        <w:t xml:space="preserve">Version or change reference: </w:t>
      </w:r>
      <w:sdt>
        <w:sdtPr>
          <w:tag w:val="AIHE_X_F022"/>
          <w:alias w:val="AIHE_X_F022"/>
          <w:text/>
        </w:sdtPr>
        <w:sdtContent>
          <w:r>
            <w:t>Click or tap here to enter text.</w:t>
          </w:r>
        </w:sdtContent>
      </w:sdt>
    </w:p>
    <w:sectPr w:rsidR="00FC693F" w:rsidRPr="0006063C" w:rsidSect="00034616">
      <w:footerReference w:type="default" r:id="rId9"/>
      <w:headerReference w:type="default" r:id="rId10"/>
      <w:headerReference w:type="first" r:id="rId11"/>
      <w:footerReference w:type="first" r:id="rId12"/>
      <w:headerReference w:type="even" r:id="rId13"/>
      <w:footerReference w:type="even" r:id="rId14"/>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re"/>
    </w:pPr>
    <w:r>
      <w:rPr>
        <w:color w:val="5F5A5B"/>
        <w:sz w:val="15"/>
      </w:rPr>
      <w:t>Muthana Zouri · Carmen Marinela Cumpăt · Grigore T. Popa University of Medicine and Pharmacy Publishing House · 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re"/>
    </w:pPr>
    <w:r/>
    <w:r>
      <w:rPr>
        <w:rFonts w:ascii="Georgia" w:hAnsi="Georgia"/>
        <w:b/>
        <w:color w:val="7B1734"/>
        <w:sz w:val="17"/>
      </w:rPr>
      <w:t>Artificial Intelligence and Healthcare Economics</w:t>
    </w:r>
    <w:r>
      <w:rPr>
        <w:color w:val="5F5A5B"/>
        <w:sz w:val="16"/>
      </w:rPr>
      <w:t xml:space="preserve"> · Digital Resource Companion · V1.0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re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re"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re"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7365D"/>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ns0:Properties xmlns:ns0="http://schemas.openxmlformats.org/officeDocument/2006/extended-properties" xmlns:ns1="http://schemas.openxmlformats.org/officeDocument/2006/docPropsVTypes">
  <ns0:Template>Normal.dotm</ns0:Template>
  <ns0:TotalTime>0</ns0:TotalTime>
  <ns0:Pages>1</ns0:Pages>
  <ns0:Words>0</ns0:Words>
  <ns0:Characters>0</ns0:Characters>
  <ns0:Application>Office document</ns0:Application>
  <ns0:DocSecurity>0</ns0:DocSecurity>
  <ns0:Lines>0</ns0:Lines>
  <ns0:Paragraphs>0</ns0:Paragraphs>
  <ns0:ScaleCrop>false</ns0:ScaleCrop>
  <ns0:HeadingPairs>
    <ns1:vector size="2" baseType="variant">
      <ns1:variant>
        <ns1:lpstr>Title</ns1:lpstr>
      </ns1:variant>
      <ns1:variant>
        <ns1:i4>1</ns1:i4>
      </ns1:variant>
    </ns1:vector>
  </ns0:HeadingPairs>
  <ns0:TitlesOfParts>
    <ns1:vector size="1" baseType="lpstr">
      <ns1:lpstr/>
    </ns1:vector>
  </ns0:TitlesOfParts>
  <ns0:Manager/>
  <ns0:Company/>
  <ns0:LinksUpToDate>false</ns0:LinksUpToDate>
  <ns0:CharactersWithSpaces>0</ns0:CharactersWithSpaces>
  <ns0:SharedDoc>false</ns0:SharedDoc>
  <ns0:HyperlinkBase/>
  <ns0:HyperlinksChanged>false</ns0:HyperlinksChanged>
  <ns0:AppVersion/>
</ns0:Properties>
</file>

<file path=docProps/core.xml><?xml version="1.0" encoding="utf-8"?>
<ns0:coreProperties xmlns:dc="http://purl.org/dc/elements/1.1/" xmlns:ns0="http://schemas.openxmlformats.org/package/2006/metadata/core-properties" xmlns:ns2="http://purl.org/dc/terms/" xmlns:xsi="http://www.w3.org/2001/XMLSchema-instance">
  <dc:title>AIHE-X template</dc:title>
  <dc:creator>Muthana Zouri; Carmen Marinela Cumpăt</dc:creator>
  <ns0:lastModifiedBy/>
  <ns2:created xsi:type="dcterms:W3CDTF">2026-08-06T00:00:00Z</ns2:created>
  <ns2:modified xsi:type="dcterms:W3CDTF">2026-08-06T00:00:00Z</ns2:modified>
  <dc:description/>
  <dc:subject>Evidence, Value, Governance, and Sustainability</dc:subject>
  <ns0:category>Digital Resource Companion</ns0:category>
  <ns0:keywords>healthcare economics; artificial intelligence; governance; sustainable value</ns0:keywords>
</ns0:coreProperties>
</file>