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AIHE-A03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Institutional Readiness Assessment</w:t>
      </w:r>
    </w:p>
    <w:p>
      <w:pPr>
        <w:pStyle w:val="Subtitle"/>
      </w:pPr>
      <w:r>
        <w:rPr>
          <w:color w:val="25272D"/>
          <w:sz w:val="26"/>
        </w:rPr>
        <w:t>Assess strategic, data, infrastructure, workflow, workforce, quality, economic, governance, procurement, and sustainability readiness.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AIHE-A03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2: Institutional Readiness and Digital Foundations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Use-case readiness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Application, intended use, setting, and consequence of failure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Readiness is specific to a defined use.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Critical dependency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Source system, interface, data, infrastructure, workforce, governance, or downstream service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List dependencies individually.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Assessment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Current adequacy and supporting evidence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average critical weaknesses into a single score.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Limitation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Unresolved limitation and consequence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what remains uncertain.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Response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Remediate before deployment, examine in pilot, defer, or reject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Distinguish remediable gaps from unacceptable conditions.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Ownership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Responsible owner and completion date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Assign each action.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Readiness decision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Proceed, conditional proceed, limited pilot, remediate, defer, or do not proceed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conditions and next review.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Use-case readiness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Application, intended use, setting, and consequence of failure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Readiness is specific to a defined use.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Critical dependency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Source system, interface, data, infrastructure, workforce, governance, or downstream service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List dependencies individually.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Assessment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Current adequacy and supporting evidence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average critical weaknesses into a single score.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Limitation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Unresolved limitation and consequence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what remains uncertain.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Response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Remediate before deployment, examine in pilot, defer, or reject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Distinguish remediable gaps from unacceptable conditions.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Ownership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Responsible owner and completion date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Assign each action.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Readiness decision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Proceed, conditional proceed, limited pilot, remediate, defer, or do not proceed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conditions and next review.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AIHE-A03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AIHE-A03 — Institutional Readiness Assessment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