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AIHE-A04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Data Source, Provenance, and Fitness Record</w:t>
      </w:r>
    </w:p>
    <w:p>
      <w:pPr>
        <w:pStyle w:val="Subtitle"/>
      </w:pPr>
      <w:r>
        <w:rPr>
          <w:color w:val="25272D"/>
          <w:sz w:val="26"/>
        </w:rPr>
        <w:t>Document source and derived data assets, authority, definitions, transformations, quality, lineage, monitoring, and remediation.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AIHE-A04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2: Institutional Readiness and Digital Foundations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Data identity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Source, owner, purpose, population, time period, and version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Create a stable record of the data used.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Provenance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Origin, collection context, transformations, mappings, and derived artefacts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Maintain lineage.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Fitness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Completeness, accuracy, timeliness, consistency, plausibility, label validity, and stability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dimensions relevant to the intended use.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Representation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Missing or underrepresented populations and consequences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Include subgroup assessment.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Authority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Legal and institutional basis, access conditions, minimization, and retention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Document legitimate use.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Observability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Pipeline-health indicators, latency, interface failure, and shift monitoring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data defects from model drift.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Fit, conditionally fit, remediation required, or not fit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restrictions and review triggers.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Data identity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Source, owner, purpose, population, time period, and version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Create a stable record of the data used.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Provenance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Origin, collection context, transformations, mappings, and derived artefacts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Maintain lineage.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Fitness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Completeness, accuracy, timeliness, consistency, plausibility, label validity, and stability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dimensions relevant to the intended use.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Representation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Missing or underrepresented populations and consequences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Include subgroup assessment.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Authority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Legal and institutional basis, access conditions, minimization, and retention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Document legitimate use.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Observability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Pipeline-health indicators, latency, interface failure, and shift monitoring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data defects from model drift.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Decision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Fit, conditionally fit, remediation required, or not fit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restrictions and review triggers.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AIHE-A04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AIHE-A04 — Data Source, Provenance, and Fitness Record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