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AIHE-B02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Lifecycle Cost and Pricing Record</w:t>
      </w:r>
    </w:p>
    <w:p>
      <w:pPr>
        <w:pStyle w:val="Subtitle"/>
      </w:pPr>
      <w:r>
        <w:rPr>
          <w:color w:val="25272D"/>
          <w:sz w:val="26"/>
        </w:rPr>
        <w:t>Record acquisition through exit costs, resource use, pricing exposure, opportunity cost, residual value, and evidence.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AIHE-B02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6: Lifecycle Cost, Pricing, and Benefit Realization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 and pricing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 item or pricing unit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Use a clinically and managerially legible unit.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 view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Incremental economic resource cost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opportunity cost even without a cash payment.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Cash view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Cash expenditure and payment timing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the paying budget holder.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Accounting view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Accounting expense or capitalization treatment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the applicable policy assumption.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Exposure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Fixed, variable, step, volume, escalation, and minimum-commitment exposure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Model plausible use scenarios.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Ownership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Responsible cost owner and evidence source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accountability.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Residual value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Realizable residual value and recovery cost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nominal values that cannot be obtained.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Lifecycle decision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Renewal, renegotiation, replacement, and exit assumptions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flexibility.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 and pricing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Cost item or pricing unit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Use a clinically and managerially legible unit.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 view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Incremental economic resource cost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opportunity cost even without a cash payment.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Cash view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Cash expenditure and payment timing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the paying budget holder.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Accounting view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Accounting expense or capitalization treatment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the applicable policy assumption.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Exposure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Fixed, variable, step, volume, escalation, and minimum-commitment exposure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Model plausible use scenarios.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Ownership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Responsible cost owner and evidence source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accountability.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Residual value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Realizable residual value and recovery cost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nominal values that cannot be obtained.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Lifecycle decision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Renewal, renegotiation, replacement, and exit assumptions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flexibility.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AIHE-B02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AIHE-B02 — Lifecycle Cost and Pricing Record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