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AIHE-EX16 — Reproducible Analysis, Model Risk, and Code Quality Checklist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12: Decision Architecture and Lifecycle Governance; Chapter 8: Decision Modelling, Simulation, and the Value of Information; Chapter 11: Evidence, Validation, and Real-World Evaluation; Computational instruments in the Digital Resource Companion; principally Chapters 8, 11, and 12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Verify data provenance, environments, versioning, testing, validation, uncertainty, security, release, and archive controls.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Use this checklist before an analysis, spreadsheet, model, dashboard, or code package is relied upon for a material decision or public release.</w:t>
      </w:r>
    </w:p>
    <w:p>
      <w:pPr>
        <w:pStyle w:val="Heading1"/>
        <w:keepNext/>
      </w:pPr>
      <w:r>
        <w:t>Reproducibility and model-risk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18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81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requirement</w:t>
            </w:r>
          </w:p>
        </w:tc>
        <w:tc>
          <w:tcPr>
            <w:tcW w:type="dxa" w:w="10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2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result</w:t>
            </w:r>
          </w:p>
        </w:tc>
        <w:tc>
          <w:tcPr>
            <w:tcW w:type="dxa" w:w="230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and action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specification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provenance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Environment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Version control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Code review and testing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Randomness and convergence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Verification and validation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Uncertainty and sensitivity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 and security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Output traceability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Release and archive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Release decision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0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77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Release class</w:t>
            </w:r>
          </w:p>
        </w:tc>
        <w:tc>
          <w:tcPr>
            <w:tcW w:type="dxa" w:w="77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Open conditions</w:t>
            </w:r>
          </w:p>
        </w:tc>
        <w:tc>
          <w:tcPr>
            <w:tcW w:type="dxa" w:w="77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Approval authority</w:t>
            </w:r>
          </w:p>
        </w:tc>
        <w:tc>
          <w:tcPr>
            <w:tcW w:type="dxa" w:w="77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Archive location</w:t>
            </w:r>
          </w:p>
        </w:tc>
        <w:tc>
          <w:tcPr>
            <w:tcW w:type="dxa" w:w="77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</w:t>
            </w:r>
          </w:p>
        </w:tc>
        <w:tc>
          <w:tcPr>
            <w:tcW w:type="dxa" w:w="77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AIHE-EX16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