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AIHE-D01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Vendor Evidence and Contract Requirements</w:t>
      </w:r>
    </w:p>
    <w:p>
      <w:pPr>
        <w:pStyle w:val="Subtitle"/>
      </w:pPr>
      <w:r>
        <w:rPr>
          <w:color w:val="25272D"/>
          <w:sz w:val="26"/>
        </w:rPr>
        <w:t>Translate evidence, interoperability, data, security, monitoring, update, service, remedy, portability, and exit requirements into contract terms.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AIHE-D01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9: Problem-First Procurement and Vendor Governance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Supplier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Supplier, exact product, version, intended use, and deployment configuration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Claims must match the deployed system.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Claim register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Clinical, technical, economic, workflow, equity, security, and sustainability claim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Treat each claim as a verifiable proposition.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supplied, applicability, limitations, and independent verification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gaps and conditions.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Dependencies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Foundation model, cloud, data, library, device, and subcontractor dependencies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Require disclosure of upstream change.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Rights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Data access, performance data, audit, testing, pub, and learning rights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Ensure continuing assurance.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Obligations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Disclosure, notification, remediation, support, and reporting obligations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frequency and owner.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Commercial terms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Pricing units, volume exposure, escalation, service levels, remedies, and risk sharing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to lifecycle cost.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 control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Material-change notification and revalidation duties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version identity.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Renewal and exit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Renewal evidence, portability, continuity, transition assistance, and termination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Treat renewal as a new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Supplier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Supplier, exact product, version, intended use, and deployment configuration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Claims must match the deployed system.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Claim register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Clinical, technical, economic, workflow, equity, security, and sustainability claim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Treat each claim as a verifiable proposition.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supplied, applicability, limitations, and independent verification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gaps and conditions.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Dependencies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Foundation model, cloud, data, library, device, and subcontractor dependencies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Require disclosure of upstream change.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Rights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Data access, performance data, audit, testing, pub, and learning rights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Ensure continuing assurance.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Obligations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Disclosure, notification, remediation, support, and reporting obligations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frequency and owner.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Commercial terms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Pricing units, volume exposure, escalation, service levels, remedies, and risk sharing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to lifecycle cost.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 control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Material-change notification and revalidation duties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version identity.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Renewal and exit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Renewal evidence, portability, continuity, transition assistance, and termination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Treat renewal as a new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AIHE-D01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AIHE-D01 — Vendor Evidence and Contract Requirements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