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AIHE-C03</w:t>
            </w:r>
          </w:p>
        </w:tc>
        <w:tc>
          <w:tcPr>
            <w:tcW w:type="dxa" w:w="5184"/>
            <w:shd w:fill="25272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ARTIFICIAL INTELLIGENCE AND HEALTHCARE ECONOMICS</w:t>
            </w:r>
          </w:p>
        </w:tc>
      </w:tr>
    </w:tbl>
    <w:p/>
    <w:p>
      <w:pPr>
        <w:pStyle w:val="Title"/>
        <w:jc w:val="left"/>
      </w:pPr>
      <w:r>
        <w:t>Integrated Institutional-Risk Review</w:t>
      </w:r>
    </w:p>
    <w:p>
      <w:pPr>
        <w:pStyle w:val="Subtitle"/>
      </w:pPr>
      <w:r>
        <w:rPr>
          <w:color w:val="25272D"/>
          <w:sz w:val="26"/>
        </w:rPr>
        <w:t>Review ethics, equity, privacy, cybersecurity, safety, continuity, trust, legal, and economic risks as one institutional system.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Resource identifier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AIHE-C03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Primary chapter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Chapter 10: Governance, Accountability, and Institutional Risk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Release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Digital Resource Companion V1.0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Status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Current consolidated resource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Evidence policy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Record the evidence cut-off, intervention version, ownership, review date, and any local modifications.</w:t>
            </w:r>
          </w:p>
        </w:tc>
      </w:tr>
    </w:tbl>
    <w:p/>
    <w:p>
      <w:pPr>
        <w:jc w:val="left"/>
      </w:pPr>
      <w:r>
        <w:rPr>
          <w:b/>
          <w:color w:val="7B1734"/>
        </w:rPr>
        <w:t>Muthana Zouri · Carmen Marinela Cumpăt</w:t>
      </w:r>
    </w:p>
    <w:p>
      <w:r>
        <w:rPr>
          <w:color w:val="25272D"/>
          <w:sz w:val="18"/>
        </w:rPr>
        <w:t>Grigore T. Popa University of Medicine and Pharmacy Publishing House, 2026</w:t>
      </w:r>
    </w:p>
    <w:p>
      <w:r>
        <w:br w:type="page"/>
      </w:r>
    </w:p>
    <w:p>
      <w:pPr>
        <w:pStyle w:val="Heading1"/>
      </w:pPr>
      <w:r>
        <w:t>How to use this resource</w:t>
      </w:r>
    </w:p>
    <w:p>
      <w:r>
        <w:t>Use this record to structure a documented institutional discussion. It does not replace the specialist analyses or accountable judgements required by the decision.</w:t>
      </w:r>
    </w:p>
    <w:p>
      <w:pPr>
        <w:pStyle w:val="ListBullet"/>
        <w:spacing w:after="60"/>
      </w:pPr>
      <w:r>
        <w:t>Begin with a defined decision, population, setting, intended use, realistic comparator, and accountable authority.</w:t>
      </w:r>
    </w:p>
    <w:p>
      <w:pPr>
        <w:pStyle w:val="ListBullet"/>
        <w:spacing w:after="60"/>
      </w:pPr>
      <w:r>
        <w:t>Use only the sections relevant to the decision; add specialist records where consequence, uncertainty, or institutional dependence warrants them.</w:t>
      </w:r>
    </w:p>
    <w:p>
      <w:pPr>
        <w:pStyle w:val="ListBullet"/>
        <w:spacing w:after="60"/>
      </w:pPr>
      <w:r>
        <w:t>Create a governed local copy. Retain the resource identifier, V1.0, evidence cut-off, intervention version, owner, review date, and local modifications.</w:t>
      </w:r>
    </w:p>
    <w:p>
      <w:pPr>
        <w:pStyle w:val="ListBullet"/>
        <w:spacing w:after="60"/>
      </w:pPr>
      <w:r>
        <w:t>Replace the synthetic worked example with authorized, versioned evidence. Preserve uncertainty, disagreements, and limitations explicitly.</w:t>
      </w:r>
    </w:p>
    <w:p>
      <w:pPr>
        <w:pStyle w:val="ListBullet"/>
        <w:spacing w:after="60"/>
      </w:pPr>
      <w:r>
        <w:t>Do not enter identifiable patient information, credentials, confidential contracts, or other restricted information into an uncontrolled copy.</w:t>
      </w:r>
    </w:p>
    <w:p>
      <w:pPr>
        <w:pStyle w:val="ListBullet"/>
        <w:spacing w:after="60"/>
      </w:pPr>
      <w:r>
        <w:t>Conclude with a current decision, conditions, mandatory safeguards, monitoring thresholds, transition triggers, next review, and credible exit route where relevant.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Framework status: author-developed decision-support record. A completed form does not establish regulatory compliance, safety, effectiveness, equity, affordability, sustainability, or institutional authorization.</w:t>
            </w:r>
          </w:p>
        </w:tc>
      </w:tr>
    </w:tbl>
    <w:p/>
    <w:p>
      <w:pPr>
        <w:sectPr>
          <w:footerReference w:type="default" r:id="rId9"/>
          <w:pgSz w:w="12240" w:h="15840"/>
          <w:pgMar w:top="792" w:right="936" w:bottom="792" w:left="936" w:header="360" w:footer="432" w:gutter="0"/>
          <w:cols w:space="720"/>
          <w:docGrid w:linePitch="360"/>
        </w:sectPr>
      </w:pPr>
    </w:p>
    <w:p>
      <w:pPr>
        <w:pStyle w:val="Heading1"/>
      </w:pPr>
      <w:r>
        <w:t>Blank institutional record</w:t>
      </w:r>
    </w:p>
    <w:p>
      <w:r>
        <w:t>Complete the record in a controlled working copy. Expand rows when additional evidence, dissent, or conditions must be preserved.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Risk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Risk statement, affected groups, and plausible consequence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Cover clinical, privacy, cybersecurity, equity, trust, continuity, legal, and institutional risks.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Evidence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Evidence source, uncertainty, and affected versions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Maintain traceability.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Control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Preventive, detective, corrective, and continuity controls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Name owners.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Residual risk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Residual likelihood, consequence, and uncertainty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Do not average away mandatory safeguards.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Authority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Person or body authorized to accept residual risk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State delegation limits.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Assurance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Independent challenge, conflict declaration, and dissent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Preserve material disagreement.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Contestability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Route for review, complaint, appeal, or human alternative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Make it accessible.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Lifecycle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Monitoring, incident, material-change, and reauthorization triggers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Connect risk to action.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Synthetic worked example</w:t>
      </w:r>
    </w:p>
    <w:p>
      <w:r>
        <w:rPr>
          <w:i/>
          <w:color w:val="7B1734"/>
        </w:rPr>
        <w:t>The entries below are synthetic and are included solely to demonstrate the intended level of specificity. They are not empirical findings or a recommendation for local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Risk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Risk statement, affected groups, and plausible consequence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Cover clinical, privacy, cybersecurity, equity, trust, continuity, legal, and institutional risks.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Evidence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Evidence source, uncertainty, and affected versions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Maintain traceability.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Control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Preventive, detective, corrective, and continuity controls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Name owners.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Residual risk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Residual likelihood, consequence, and uncertainty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Do not average away mandatory safeguards.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Authority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Person or body authorized to accept residual risk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State delegation limits.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Assurance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Independent challenge, conflict declaration, and dissent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Preserve material disagreement.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Contestability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Route for review, complaint, appeal, or human alternative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Make it accessible.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Lifecycle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Monitoring, incident, material-change, and reauthorization triggers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Connect risk to action.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1520"/>
      </w:tblGrid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Current decision or disposition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Mandatory conditions and next review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Accountable authority and date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</w:tbl>
    <w:sectPr w:rsidR="00FC693F" w:rsidRPr="0006063C" w:rsidSect="00034616">
      <w:pgSz w:w="15840" w:h="12240" w:orient="landscape"/>
      <w:pgMar w:top="648" w:right="576" w:bottom="648" w:left="576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5272D"/>
        <w:sz w:val="16"/>
      </w:rPr>
      <w:t>AIHE-C03 · Digital Resource Companion V1.0 · Muthana Zouri and Carmen Marinela Cumpăt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7B173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2527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5B817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b/>
      <w:color w:val="7B173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AIHE-C03 — Integrated Institutional-Risk Review</dc:title>
  <dc:subject>Digital Resource Companion V1.0</dc:subject>
  <dc:creator>Muthana Zouri; Carmen Marinela Cumpăt</dc:creator>
  <cp:keywords>health economics; healthcare artificial intelligence; institutional decision support; V1.0</cp:keywords>
  <dc:description/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