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AIHE-C05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Public Transparency and Communication Record</w:t>
      </w:r>
    </w:p>
    <w:p>
      <w:pPr>
        <w:pStyle w:val="Subtitle"/>
      </w:pPr>
      <w:r>
        <w:rPr>
          <w:color w:val="25272D"/>
          <w:sz w:val="26"/>
        </w:rPr>
        <w:t>Define accurate, accessible communication about intended use, limitations, oversight, data, complaints, incidents, and alternatives.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AIHE-C05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10: Governance, Accountability, and Institutional Risk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Communication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Purpose, audience, timing, and channel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Tailor communication to the decision context.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Content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What the system does, intended use, benefits, risks, and alternatives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Use plain language where required.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strength, uncertainty, and material limitations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Avoid promotional claims.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Rights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Human review, contest, complaint, opt-out, or alternative route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what is available.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Accessibility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Language, disability, literacy, and digital-access requirements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Test effective access.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Incident and change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How material changes, incidents, restrictions, and withdrawal will be communicated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responsibility.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Approval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Accountable owner, review, pub date, and next update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Keep communications current.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Communication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Purpose, audience, timing, and channel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Tailor communication to the decision context.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Content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What the system does, intended use, benefits, risks, and alternatives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Use plain language where required.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strength, uncertainty, and material limitations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Avoid promotional claims.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Rights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Human review, contest, complaint, opt-out, or alternative route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what is available.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Accessibility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Language, disability, literacy, and digital-access requirements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Test effective access.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Incident and change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How material changes, incidents, restrictions, and withdrawal will be communicated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responsibility.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Approval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Accountable owner, review, pub date, and next update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Keep communications current.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AIHE-C05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AIHE-C05 — Public Transparency and Communication Record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