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re"/>
      </w:pPr>
      <w:r>
        <w:t>Regulatory, Standards, and Policy Update Register</w:t>
      </w:r>
    </w:p>
    <w:p>
      <w:pPr>
        <w:jc w:val="centre"/>
      </w:pPr>
      <w:r>
        <w:rPr>
          <w:b/>
          <w:color w:val="7A2334"/>
        </w:rPr>
        <w:t>AIHE-RG04</w:t>
      </w:r>
    </w:p>
    <w:p>
      <w:pPr>
        <w:spacing w:after="40"/>
      </w:pPr>
      <w:r>
        <w:rPr>
          <w:b/>
        </w:rPr>
        <w:t xml:space="preserve">Primary chapter: </w:t>
      </w:r>
      <w:r>
        <w:t>10 — Governance, Accountability, and Institutional Risk</w:t>
      </w:r>
    </w:p>
    <w:p>
      <w:pPr>
        <w:spacing w:after="40"/>
      </w:pPr>
      <w:r>
        <w:rPr>
          <w:b/>
        </w:rPr>
        <w:t xml:space="preserve">Additional chapter alignment: </w:t>
      </w:r>
      <w:r>
        <w:t>2, 5, 7, 9, 10, 12-15</w:t>
      </w:r>
    </w:p>
    <w:p>
      <w:pPr>
        <w:spacing w:after="40"/>
      </w:pPr>
      <w:r>
        <w:rPr>
          <w:b/>
        </w:rPr>
        <w:t xml:space="preserve">Version: </w:t>
      </w:r>
      <w:r>
        <w:t>V1.0</w:t>
      </w:r>
    </w:p>
    <w:p>
      <w:pPr>
        <w:pStyle w:val="Heading1"/>
      </w:pPr>
      <w:r>
        <w:t>Purpose</w:t>
      </w:r>
    </w:p>
    <w:p>
      <w:r>
        <w:t>Maintain date-stamped records for European, Romanian, and global legal, policy, standards, reimbursement, and guidance sources whose scope or implementation status may change.</w:t>
      </w:r>
    </w:p>
    <w:p>
      <w:pPr>
        <w:pStyle w:val="Heading1"/>
      </w:pPr>
      <w:r>
        <w:t>Instructions</w:t>
      </w:r>
    </w:p>
    <w:p>
      <w:pPr>
        <w:pStyle w:val="ListBullet"/>
      </w:pPr>
      <w:r>
        <w:t>Define the decision question before selecting an instrument or framework.</w:t>
      </w:r>
    </w:p>
    <w:p>
      <w:pPr>
        <w:pStyle w:val="ListBullet"/>
      </w:pPr>
      <w:r>
        <w:t>Verify the exact edition, pub date, jurisdiction, scope, and status of external sources.</w:t>
      </w:r>
    </w:p>
    <w:p>
      <w:pPr>
        <w:pStyle w:val="ListBullet"/>
      </w:pPr>
      <w:r>
        <w:t>Record local evidence, judgement, ownership, gaps, and the resulting decision.</w:t>
      </w:r>
    </w:p>
    <w:p>
      <w:pPr>
        <w:pStyle w:val="ListBullet"/>
      </w:pPr>
      <w:r>
        <w:t>Review and update the record when law, standards, policy, evidence, or institutional context changes.</w:t>
      </w:r>
    </w:p>
    <w:p>
      <w:pPr>
        <w:pStyle w:val="Heading1"/>
      </w:pPr>
      <w:r>
        <w:t>Editable register or checklist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1386"/>
        <w:gridCol w:w="1386"/>
        <w:gridCol w:w="1386"/>
        <w:gridCol w:w="1386"/>
        <w:gridCol w:w="1386"/>
        <w:gridCol w:w="1386"/>
        <w:gridCol w:w="1386"/>
        <w:gridCol w:w="1386"/>
        <w:gridCol w:w="1386"/>
        <w:gridCol w:w="1386"/>
        <w:gridCol w:w="1386"/>
      </w:tblGrid>
      <w:tr>
        <w:trPr>
          <w:tblHeader w:val="true"/>
        </w:trPr>
        <w:tc>
          <w:tcPr>
            <w:tcW w:type="dxa" w:w="1386"/>
            <w:shd w:fill="7A2334"/>
          </w:tcPr>
          <w:p>
            <w:r>
              <w:rPr>
                <w:b/>
                <w:color w:val="FFFFFF"/>
                <w:sz w:val="15"/>
              </w:rPr>
              <w:t>Instrument</w:t>
            </w:r>
          </w:p>
        </w:tc>
        <w:tc>
          <w:tcPr>
            <w:tcW w:type="dxa" w:w="1386"/>
            <w:shd w:fill="7A2334"/>
          </w:tcPr>
          <w:p>
            <w:r>
              <w:rPr>
                <w:b/>
                <w:color w:val="FFFFFF"/>
                <w:sz w:val="15"/>
              </w:rPr>
              <w:t>Authority and jurisdiction</w:t>
            </w:r>
          </w:p>
        </w:tc>
        <w:tc>
          <w:tcPr>
            <w:tcW w:type="dxa" w:w="1386"/>
            <w:shd w:fill="7A2334"/>
          </w:tcPr>
          <w:p>
            <w:r>
              <w:rPr>
                <w:b/>
                <w:color w:val="FFFFFF"/>
                <w:sz w:val="15"/>
              </w:rPr>
              <w:t>Status</w:t>
            </w:r>
          </w:p>
        </w:tc>
        <w:tc>
          <w:tcPr>
            <w:tcW w:type="dxa" w:w="1386"/>
            <w:shd w:fill="7A2334"/>
          </w:tcPr>
          <w:p>
            <w:r>
              <w:rPr>
                <w:b/>
                <w:color w:val="FFFFFF"/>
                <w:sz w:val="15"/>
              </w:rPr>
              <w:t>Version or date</w:t>
            </w:r>
          </w:p>
        </w:tc>
        <w:tc>
          <w:tcPr>
            <w:tcW w:type="dxa" w:w="1386"/>
            <w:shd w:fill="7A2334"/>
          </w:tcPr>
          <w:p>
            <w:r>
              <w:rPr>
                <w:b/>
                <w:color w:val="FFFFFF"/>
                <w:sz w:val="15"/>
              </w:rPr>
              <w:t>Decision relevance</w:t>
            </w:r>
          </w:p>
        </w:tc>
        <w:tc>
          <w:tcPr>
            <w:tcW w:type="dxa" w:w="1386"/>
            <w:shd w:fill="7A2334"/>
          </w:tcPr>
          <w:p>
            <w:r>
              <w:rPr>
                <w:b/>
                <w:color w:val="FFFFFF"/>
                <w:sz w:val="15"/>
              </w:rPr>
              <w:t>Implementation phase</w:t>
            </w:r>
          </w:p>
        </w:tc>
        <w:tc>
          <w:tcPr>
            <w:tcW w:type="dxa" w:w="1386"/>
            <w:shd w:fill="7A2334"/>
          </w:tcPr>
          <w:p>
            <w:r>
              <w:rPr>
                <w:b/>
                <w:color w:val="FFFFFF"/>
                <w:sz w:val="15"/>
              </w:rPr>
              <w:t>Authoritative source</w:t>
            </w:r>
          </w:p>
        </w:tc>
        <w:tc>
          <w:tcPr>
            <w:tcW w:type="dxa" w:w="1386"/>
            <w:shd w:fill="7A2334"/>
          </w:tcPr>
          <w:p>
            <w:r>
              <w:rPr>
                <w:b/>
                <w:color w:val="FFFFFF"/>
                <w:sz w:val="15"/>
              </w:rPr>
              <w:t>Date checked</w:t>
            </w:r>
          </w:p>
        </w:tc>
        <w:tc>
          <w:tcPr>
            <w:tcW w:type="dxa" w:w="1386"/>
            <w:shd w:fill="7A2334"/>
          </w:tcPr>
          <w:p>
            <w:r>
              <w:rPr>
                <w:b/>
                <w:color w:val="FFFFFF"/>
                <w:sz w:val="15"/>
              </w:rPr>
              <w:t>Owner</w:t>
            </w:r>
          </w:p>
        </w:tc>
        <w:tc>
          <w:tcPr>
            <w:tcW w:type="dxa" w:w="1386"/>
            <w:shd w:fill="7A2334"/>
          </w:tcPr>
          <w:p>
            <w:r>
              <w:rPr>
                <w:b/>
                <w:color w:val="FFFFFF"/>
                <w:sz w:val="15"/>
              </w:rPr>
              <w:t>Next review</w:t>
            </w:r>
          </w:p>
        </w:tc>
        <w:tc>
          <w:tcPr>
            <w:tcW w:type="dxa" w:w="1386"/>
            <w:shd w:fill="7A2334"/>
          </w:tcPr>
          <w:p>
            <w:r>
              <w:rPr>
                <w:b/>
                <w:color w:val="FFFFFF"/>
                <w:sz w:val="15"/>
              </w:rPr>
              <w:t>Change since prior review</w:t>
            </w:r>
          </w:p>
        </w:tc>
      </w:tr>
      <w:tr>
        <w:tc>
          <w:tcPr>
            <w:tcW w:type="dxa" w:w="1386"/>
            <w:vAlign w:val="top"/>
            <w:shd w:fill="F2E8EB"/>
          </w:tcPr>
          <w:p>
            <w:r>
              <w:rPr>
                <w:sz w:val="14"/>
              </w:rPr>
              <w:t>EU AI Act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European Union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Binding regulation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Verify consolidated current text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Risk classification, governance, transparency and lifecycle obligations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Phased application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EUR-Lex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386"/>
            <w:vAlign w:val="top"/>
            <w:shd w:fill="F2E8EB"/>
          </w:tcPr>
          <w:p>
            <w:r>
              <w:rPr>
                <w:sz w:val="14"/>
              </w:rPr>
              <w:t>European Health Data Space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European Union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Binding regulation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Verify consolidated current text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Primary/secondary use, interoperability and cross-border data infrastructure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Staged implementation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EUR-Lex / European Commission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386"/>
            <w:vAlign w:val="top"/>
            <w:shd w:fill="F2E8EB"/>
          </w:tcPr>
          <w:p>
            <w:r>
              <w:rPr>
                <w:sz w:val="14"/>
              </w:rPr>
              <w:t>EU HTA Regulation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European Union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Binding regulation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Verify current scope and methods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Joint clinical assessment and national/local decision pathways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Staged technology coverage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EUR-Lex / HTA Coordination Group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386"/>
            <w:vAlign w:val="top"/>
            <w:shd w:fill="F2E8EB"/>
          </w:tcPr>
          <w:p>
            <w:r>
              <w:rPr>
                <w:sz w:val="14"/>
              </w:rPr>
              <w:t>GDPR and national data law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EU and member state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Binding law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Verify current guidance and national interpretation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Lawful data use, rights, security and accountability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Current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EUR-Lex / national authority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386"/>
            <w:vAlign w:val="top"/>
            <w:shd w:fill="F2E8EB"/>
          </w:tcPr>
          <w:p>
            <w:r>
              <w:rPr>
                <w:sz w:val="14"/>
              </w:rPr>
              <w:t>Medical-device framework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EU and national competent authority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Binding sectoral law where applicable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Verify qualification/classification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Conformity, clinical evidence, post-market and change obligations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Current / transitional where applicable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EUR-Lex / competent authority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386"/>
            <w:vAlign w:val="top"/>
            <w:shd w:fill="F2E8EB"/>
          </w:tcPr>
          <w:p>
            <w:r>
              <w:rPr>
                <w:sz w:val="14"/>
              </w:rPr>
              <w:t>ISO/IEC AI and healthcare-quality standards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International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Voluntary standards unless adopted contractually or legally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Verify current edition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Management systems, risk, quality and audit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Current edition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ISO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386"/>
            <w:vAlign w:val="top"/>
            <w:shd w:fill="F2E8EB"/>
          </w:tcPr>
          <w:p>
            <w:r>
              <w:rPr>
                <w:sz w:val="14"/>
              </w:rPr>
              <w:t>Romanian digital-health strategy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Romania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National policy/strategy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Verify adopted version and implementation plan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National health-data, interoperability and capability priorities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Verify current formal status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Ministry of Health of Romania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</w:tr>
    </w:tbl>
    <w:sectPr w:rsidR="00FC693F" w:rsidRPr="0006063C" w:rsidSect="00034616">
      <w:footerReference w:type="default" r:id="rId9"/>
      <w:headerReference w:type="default" r:id="rId10"/>
      <w:pgSz w:w="16834" w:h="11909" w:orient="landscape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re"/>
    </w:pPr>
    <w:r>
      <w:rPr>
        <w:color w:val="5F5A5B"/>
        <w:sz w:val="15"/>
      </w:rPr>
      <w:t>Muthana Zouri · Carmen Marinela Cumpăt · Grigore T. Popa University of Medicine and Pharmacy Publishing House ·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re"/>
    </w:pPr>
    <w:r/>
    <w:r>
      <w:rPr>
        <w:rFonts w:ascii="Georgia" w:hAnsi="Georgia"/>
        <w:b/>
        <w:color w:val="7B1734"/>
        <w:sz w:val="17"/>
      </w:rPr>
      <w:t>Artificial Intelligence and Healthcare Economics</w:t>
    </w:r>
    <w:r>
      <w:rPr>
        <w:color w:val="5F5A5B"/>
        <w:sz w:val="16"/>
      </w:rPr>
      <w:t xml:space="preserve"> · Digital Resource Companion ·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AIHE-RG04 guide and template</dc:title>
  <dc:creator>Muthana Zouri; Carmen Marinela Cumpăt</dc:creator>
  <ns0:lastModifiedBy/>
  <ns2:created xsi:type="dcterms:W3CDTF">2026-08-06T00:00:00Z</ns2:created>
  <ns2:modified xsi:type="dcterms:W3CDTF">2026-08-06T00:00:00Z</ns2:modified>
  <dc:description/>
  <dc:subject>Evidence, Value, Governance, and Sustainability</dc:subject>
  <ns0:category>Digital Resource Companion</ns0:category>
  <ns0:keywords>healthcare economics; artificial intelligence; governance; sustainable value</ns0:keywords>
</ns0:coreProperties>
</file>