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AIHE-D03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Post-Deployment Monitoring and Algorithmovigilance Cadence</w:t>
      </w:r>
    </w:p>
    <w:p>
      <w:pPr>
        <w:pStyle w:val="Subtitle"/>
      </w:pPr>
      <w:r>
        <w:rPr>
          <w:color w:val="25272D"/>
          <w:sz w:val="26"/>
        </w:rPr>
        <w:t>Define recurring and event-triggered surveillance across technical, workflow, safety, equity, economic, and contractual domains.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AIHE-D03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12: Decision Architecture and Lifecycle Governance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Signal, measure, source, affected population, and system version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each signal to the intervention identity.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Cadence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Frequency, accumulation window, and review forum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risk-appropriate surveillance.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Threshold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Acceptability limit or transition trigger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statistical and decision thresholds separately.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Reviewer, response time, and escalation authority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 without authority is incomplete.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Continue, investigate, restrict, suspend, revalidate, reauthorize, replace, or retire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the default response.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required to resolve the trigger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to decision history.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Signal, measure, source, affected population, and system version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each signal to the intervention identity.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Cadence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Frequency, accumulation window, and review forum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risk-appropriate surveillance.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Threshold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Acceptability limit or transition trigger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statistical and decision thresholds separately.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Ownership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Reviewer, response time, and escalation authority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 without authority is incomplete.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Response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Continue, investigate, restrict, suspend, revalidate, reauthorize, replace, or retire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the default response.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required to resolve the trigger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Link to decision history.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AIHE-D03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AIHE-D03 — Post-Deployment Monitoring and Algorithmovigilance Cadence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