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re"/>
      </w:pPr>
      <w:r>
        <w:rPr>
          <w:rFonts w:ascii="Arial" w:hAnsi="Arial"/>
          <w:color w:val="1F4E79"/>
        </w:rPr>
        <w:t>AIHE-EX12 — Incident Corrective Action and Reconstruction Log</w:t>
      </w:r>
    </w:p>
    <w:p>
      <w:r>
        <w:rPr>
          <w:rFonts w:ascii="Arial" w:hAnsi="Arial"/>
          <w:color w:val="595959"/>
          <w:sz w:val="17"/>
        </w:rPr>
        <w:t>Current digital location: Resource Set D — Procurement, Implementation, and Lifecycle Governance. Stable resource ID retained for continuity across companion editions.</w:t>
      </w:r>
    </w:p>
    <w:p>
      <w:pPr>
        <w:jc w:val="centre"/>
      </w:pPr>
      <w:r>
        <w:rPr>
          <w:b/>
          <w:color w:val="2F5597"/>
        </w:rPr>
        <w:t>Synthetic worked example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Current digital location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Resource Set D — Procurement, Implementation, and Lifecycle Governance</w:t>
            </w:r>
          </w:p>
        </w:tc>
      </w:tr>
      <w:tr>
        <w:tc>
          <w:tcPr>
            <w:tcW w:type="dxa" w:w="525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Related book chapters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Chapter 5: Quality Management, Accreditation, and Organizational Learning; Chapter 10: Governance, Accountability, and Institutional Risk; Chapter 10: Governance, Accountability, and Institutional Risk; Chapter 12: Decision Architecture and Lifecycle Governance; Chapter 12: Decision Architecture and Lifecycle Governance</w:t>
            </w:r>
          </w:p>
        </w:tc>
      </w:tr>
      <w:tr>
        <w:tc>
          <w:tcPr>
            <w:tcW w:type="dxa" w:w="525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Workflow step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08: 08_Monitoring_Lifecycle</w:t>
            </w:r>
          </w:p>
        </w:tc>
      </w:tr>
      <w:tr>
        <w:tc>
          <w:tcPr>
            <w:tcW w:type="dxa" w:w="525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Version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>
              <w:t>6.0.0 | aligned to the fifteen-chapter reference edition and Resource Sets A–E</w:t>
            </w:r>
          </w:p>
        </w:tc>
      </w:tr>
    </w:tbl>
    <w:p>
      <w:r>
        <w:rPr>
          <w:b/>
        </w:rPr>
        <w:t xml:space="preserve">Purpose. </w:t>
      </w:r>
      <w:r>
        <w:t>Classify and reconstruct technical, clinical, workflow, privacy, cybersecurity, equity, and communication incidents.</w:t>
      </w:r>
    </w:p>
    <w:p>
      <w:r>
        <w:rPr>
          <w:b/>
        </w:rPr>
        <w:t xml:space="preserve">Use note. </w:t>
      </w:r>
      <w:r>
        <w:t>Use the resource as a versioned institutional record. Adapt it to local law, policy, clinical practice, information security, procurement, and health-technology-assessment requirements. Do not enter identifiable patient data or confidential credentials into public copies.</w:t>
      </w:r>
    </w:p>
    <w:p>
      <w:r>
        <w:rPr>
          <w:b/>
        </w:rPr>
        <w:t xml:space="preserve">Worked-example status. </w:t>
      </w:r>
      <w:r>
        <w:t>All names, organizations, figures, findings, and decisions are fictional and are included only to demonstrate completion logic.</w:t>
      </w:r>
    </w:p>
    <w:p>
      <w:pPr>
        <w:pStyle w:val="Heading1"/>
        <w:keepNext/>
      </w:pPr>
      <w:r>
        <w:t>How to use this resource</w:t>
      </w:r>
    </w:p>
    <w:p>
      <w:r>
        <w:t>A material incident is not closed merely because service resumes. Closure requires reconstruction, accountable corrective action, evidence of effectiveness, and explicit recording of residual uncertainty.</w:t>
      </w:r>
    </w:p>
    <w:p>
      <w:pPr>
        <w:pStyle w:val="Heading1"/>
        <w:keepNext/>
      </w:pPr>
      <w:r>
        <w:t>Incident reconstruction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rPr>
          <w:tblHeader w:val="true"/>
        </w:trPr>
        <w:tc>
          <w:tcPr>
            <w:tcW w:type="dxa" w:w="2088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453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Minimum required content</w:t>
            </w:r>
          </w:p>
        </w:tc>
        <w:tc>
          <w:tcPr>
            <w:tcW w:type="dxa" w:w="4032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Incident-specific record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Identification</w:t>
            </w:r>
          </w:p>
        </w:tc>
        <w:tc>
          <w:tcPr>
            <w:tcW w:type="dxa" w:w="453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Incident ID, date/time, reporter, system, version, site, intended use.</w:t>
            </w:r>
          </w:p>
        </w:tc>
        <w:tc>
          <w:tcPr>
            <w:tcW w:type="dxa" w:w="403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INC-2026-014; ambient documentation v3.4; cardiology clinic.</w:t>
            </w:r>
          </w:p>
        </w:tc>
      </w:tr>
      <w:tr>
        <w:tc>
          <w:tcPr>
            <w:tcW w:type="dxa" w:w="2088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Categories</w:t>
            </w:r>
          </w:p>
        </w:tc>
        <w:tc>
          <w:tcPr>
            <w:tcW w:type="dxa" w:w="453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Primary and secondary categories from the seven-category taxonomy.</w:t>
            </w:r>
          </w:p>
        </w:tc>
        <w:tc>
          <w:tcPr>
            <w:tcW w:type="dxa" w:w="4032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Primary: communication; secondary: workflow.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Affected scope</w:t>
            </w:r>
          </w:p>
        </w:tc>
        <w:tc>
          <w:tcPr>
            <w:tcW w:type="dxa" w:w="453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Patients, staff, records, pathway, duration, and scale.</w:t>
            </w:r>
          </w:p>
        </w:tc>
        <w:tc>
          <w:tcPr>
            <w:tcW w:type="dxa" w:w="403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Seven draft notes; no signed record affected.</w:t>
            </w:r>
          </w:p>
        </w:tc>
      </w:tr>
      <w:tr>
        <w:tc>
          <w:tcPr>
            <w:tcW w:type="dxa" w:w="2088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Data and provenance</w:t>
            </w:r>
          </w:p>
        </w:tc>
        <w:tc>
          <w:tcPr>
            <w:tcW w:type="dxa" w:w="453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Source, time, transformations, missingness, quality, and changes.</w:t>
            </w:r>
          </w:p>
        </w:tc>
        <w:tc>
          <w:tcPr>
            <w:tcW w:type="dxa" w:w="4032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Transcript segment duplicated after reconnect.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Model and configuration</w:t>
            </w:r>
          </w:p>
        </w:tc>
        <w:tc>
          <w:tcPr>
            <w:tcW w:type="dxa" w:w="453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Model/software, thresholds, prompts, retrieval, interfaces, connected sources.</w:t>
            </w:r>
          </w:p>
        </w:tc>
        <w:tc>
          <w:tcPr>
            <w:tcW w:type="dxa" w:w="403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Model 3.4; prompt 11; no retrieval.</w:t>
            </w:r>
          </w:p>
        </w:tc>
      </w:tr>
      <w:tr>
        <w:tc>
          <w:tcPr>
            <w:tcW w:type="dxa" w:w="2088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AI output</w:t>
            </w:r>
          </w:p>
        </w:tc>
        <w:tc>
          <w:tcPr>
            <w:tcW w:type="dxa" w:w="453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Score, recommendation, generated content, uncertainty, alert, or action.</w:t>
            </w:r>
          </w:p>
        </w:tc>
        <w:tc>
          <w:tcPr>
            <w:tcW w:type="dxa" w:w="4032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Duplicated medication instruction in draft note.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Human action and rationale</w:t>
            </w:r>
          </w:p>
        </w:tc>
        <w:tc>
          <w:tcPr>
            <w:tcW w:type="dxa" w:w="453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Recipient, information, accept/reject/modify/ignore/escalate and rationale.</w:t>
            </w:r>
          </w:p>
        </w:tc>
        <w:tc>
          <w:tcPr>
            <w:tcW w:type="dxa" w:w="403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Clinician corrected before signing and reported pattern.</w:t>
            </w:r>
          </w:p>
        </w:tc>
      </w:tr>
      <w:tr>
        <w:tc>
          <w:tcPr>
            <w:tcW w:type="dxa" w:w="2088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Clinical and operational context</w:t>
            </w:r>
          </w:p>
        </w:tc>
        <w:tc>
          <w:tcPr>
            <w:tcW w:type="dxa" w:w="453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Workload, timing, staffing, patient condition, capacity, downtime, workarounds.</w:t>
            </w:r>
          </w:p>
        </w:tc>
        <w:tc>
          <w:tcPr>
            <w:tcW w:type="dxa" w:w="4032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Network reconnect during high-volume clinic.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Immediate response</w:t>
            </w:r>
          </w:p>
        </w:tc>
        <w:tc>
          <w:tcPr>
            <w:tcW w:type="dxa" w:w="453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Protection, containment, restriction, rollback, notification, fallback.</w:t>
            </w:r>
          </w:p>
        </w:tc>
        <w:tc>
          <w:tcPr>
            <w:tcW w:type="dxa" w:w="403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Template disabled; manual documentation activated.</w:t>
            </w:r>
          </w:p>
        </w:tc>
      </w:tr>
      <w:tr>
        <w:tc>
          <w:tcPr>
            <w:tcW w:type="dxa" w:w="2088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Cause and contributing factors</w:t>
            </w:r>
          </w:p>
        </w:tc>
        <w:tc>
          <w:tcPr>
            <w:tcW w:type="dxa" w:w="453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Technical, human, workflow, governance, vendor, communication causes and uncertainty.</w:t>
            </w:r>
          </w:p>
        </w:tc>
        <w:tc>
          <w:tcPr>
            <w:tcW w:type="dxa" w:w="4032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Reconnect bug plus absent duplicate-content check.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Corrective and preventive action</w:t>
            </w:r>
          </w:p>
        </w:tc>
        <w:tc>
          <w:tcPr>
            <w:tcW w:type="dxa" w:w="453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Owner, remediation, revalidation, monitoring, training, contract action, deadline.</w:t>
            </w:r>
          </w:p>
        </w:tc>
        <w:tc>
          <w:tcPr>
            <w:tcW w:type="dxa" w:w="403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Vendor patch; duplicate detector; user notice; 30-day review.</w:t>
            </w:r>
          </w:p>
        </w:tc>
      </w:tr>
      <w:tr>
        <w:tc>
          <w:tcPr>
            <w:tcW w:type="dxa" w:w="2088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Closure</w:t>
            </w:r>
          </w:p>
        </w:tc>
        <w:tc>
          <w:tcPr>
            <w:tcW w:type="dxa" w:w="453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Effectiveness evidence, affected records addressed, residual risk, authority, date.</w:t>
            </w:r>
          </w:p>
        </w:tc>
        <w:tc>
          <w:tcPr>
            <w:tcW w:type="dxa" w:w="4032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Conditional closure after 30 days with no recurrence.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Incident-category review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rPr>
          <w:tblHeader w:val="true"/>
        </w:trPr>
        <w:tc>
          <w:tcPr>
            <w:tcW w:type="dxa" w:w="1728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Category</w:t>
            </w:r>
          </w:p>
        </w:tc>
        <w:tc>
          <w:tcPr>
            <w:tcW w:type="dxa" w:w="1512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Involvement</w:t>
            </w:r>
          </w:p>
        </w:tc>
        <w:tc>
          <w:tcPr>
            <w:tcW w:type="dxa" w:w="3960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Finding</w:t>
            </w:r>
          </w:p>
        </w:tc>
        <w:tc>
          <w:tcPr>
            <w:tcW w:type="dxa" w:w="345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Owner and action</w:t>
            </w:r>
          </w:p>
        </w:tc>
      </w:tr>
      <w:tr>
        <w:tc>
          <w:tcPr>
            <w:tcW w:type="dxa" w:w="172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Technical</w:t>
            </w:r>
          </w:p>
        </w:tc>
        <w:tc>
          <w:tcPr>
            <w:tcW w:type="dxa" w:w="151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Secondary</w:t>
            </w:r>
          </w:p>
        </w:tc>
        <w:tc>
          <w:tcPr>
            <w:tcW w:type="dxa" w:w="396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Reconnect duplication defect.</w:t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Vendor patch and local regression test.</w:t>
            </w:r>
          </w:p>
        </w:tc>
      </w:tr>
      <w:tr>
        <w:tc>
          <w:tcPr>
            <w:tcW w:type="dxa" w:w="1728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Clinical</w:t>
            </w:r>
          </w:p>
        </w:tc>
        <w:tc>
          <w:tcPr>
            <w:tcW w:type="dxa" w:w="1512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Potential</w:t>
            </w:r>
          </w:p>
        </w:tc>
        <w:tc>
          <w:tcPr>
            <w:tcW w:type="dxa" w:w="396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Content could cause harm if signed.</w:t>
            </w:r>
          </w:p>
        </w:tc>
        <w:tc>
          <w:tcPr>
            <w:tcW w:type="dxa" w:w="345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Clinical safety sampling.</w:t>
            </w:r>
          </w:p>
        </w:tc>
      </w:tr>
      <w:tr>
        <w:tc>
          <w:tcPr>
            <w:tcW w:type="dxa" w:w="172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Workflow</w:t>
            </w:r>
          </w:p>
        </w:tc>
        <w:tc>
          <w:tcPr>
            <w:tcW w:type="dxa" w:w="151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Secondary</w:t>
            </w:r>
          </w:p>
        </w:tc>
        <w:tc>
          <w:tcPr>
            <w:tcW w:type="dxa" w:w="396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High-volume reconnect and review burden.</w:t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Revise downtime/reconnect workflow.</w:t>
            </w:r>
          </w:p>
        </w:tc>
      </w:tr>
      <w:tr>
        <w:tc>
          <w:tcPr>
            <w:tcW w:type="dxa" w:w="1728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Privacy</w:t>
            </w:r>
          </w:p>
        </w:tc>
        <w:tc>
          <w:tcPr>
            <w:tcW w:type="dxa" w:w="1512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Not involved</w:t>
            </w:r>
          </w:p>
        </w:tc>
        <w:tc>
          <w:tcPr>
            <w:tcW w:type="dxa" w:w="396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No unauthorized disclosure.</w:t>
            </w:r>
          </w:p>
        </w:tc>
        <w:tc>
          <w:tcPr>
            <w:tcW w:type="dxa" w:w="345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Document finding.</w:t>
            </w:r>
          </w:p>
        </w:tc>
      </w:tr>
      <w:tr>
        <w:tc>
          <w:tcPr>
            <w:tcW w:type="dxa" w:w="172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Cybersecurity</w:t>
            </w:r>
          </w:p>
        </w:tc>
        <w:tc>
          <w:tcPr>
            <w:tcW w:type="dxa" w:w="151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Not involved</w:t>
            </w:r>
          </w:p>
        </w:tc>
        <w:tc>
          <w:tcPr>
            <w:tcW w:type="dxa" w:w="396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No malicious activity identified.</w:t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Security sign-off.</w:t>
            </w:r>
          </w:p>
        </w:tc>
      </w:tr>
      <w:tr>
        <w:tc>
          <w:tcPr>
            <w:tcW w:type="dxa" w:w="1728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Equity</w:t>
            </w:r>
          </w:p>
        </w:tc>
        <w:tc>
          <w:tcPr>
            <w:tcW w:type="dxa" w:w="1512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Not established</w:t>
            </w:r>
          </w:p>
        </w:tc>
        <w:tc>
          <w:tcPr>
            <w:tcW w:type="dxa" w:w="396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No subgroup pattern; sample small.</w:t>
            </w:r>
          </w:p>
        </w:tc>
        <w:tc>
          <w:tcPr>
            <w:tcW w:type="dxa" w:w="345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Monitor recurrence by service and language.</w:t>
            </w:r>
          </w:p>
        </w:tc>
      </w:tr>
      <w:tr>
        <w:tc>
          <w:tcPr>
            <w:tcW w:type="dxa" w:w="172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Communication</w:t>
            </w:r>
          </w:p>
        </w:tc>
        <w:tc>
          <w:tcPr>
            <w:tcW w:type="dxa" w:w="151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Primary</w:t>
            </w:r>
          </w:p>
        </w:tc>
        <w:tc>
          <w:tcPr>
            <w:tcW w:type="dxa" w:w="396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Generated instruction was inaccurate and repetitive.</w:t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Template control and clinician notification.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Decision and review record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rPr>
          <w:tblHeader w:val="true"/>
        </w:trPr>
        <w:tc>
          <w:tcPr>
            <w:tcW w:type="dxa" w:w="2088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4464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Guidance</w:t>
            </w:r>
          </w:p>
        </w:tc>
        <w:tc>
          <w:tcPr>
            <w:tcW w:type="dxa" w:w="345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Record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Recommended status</w:t>
            </w:r>
          </w:p>
        </w:tc>
        <w:tc>
          <w:tcPr>
            <w:tcW w:type="dxa" w:w="446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Proceed / proceed with conditions / redesign / restrict / pause / replace / retire</w:t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Proceed with conditions</w:t>
            </w:r>
          </w:p>
        </w:tc>
      </w:tr>
      <w:tr>
        <w:tc>
          <w:tcPr>
            <w:tcW w:type="dxa" w:w="2088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Mandatory safeguards</w:t>
            </w:r>
          </w:p>
        </w:tc>
        <w:tc>
          <w:tcPr>
            <w:tcW w:type="dxa" w:w="446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Safety, lawful data use, privacy/security, equity, human oversight, monitoring, ability to stop</w:t>
            </w:r>
          </w:p>
        </w:tc>
        <w:tc>
          <w:tcPr>
            <w:tcW w:type="dxa" w:w="345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Passed with two conditions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Material unresolved issues</w:t>
            </w:r>
          </w:p>
        </w:tc>
        <w:tc>
          <w:tcPr>
            <w:tcW w:type="dxa" w:w="446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Record gaps that could change the decision</w:t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Local subgroup sample remains small</w:t>
            </w:r>
          </w:p>
        </w:tc>
      </w:tr>
      <w:tr>
        <w:tc>
          <w:tcPr>
            <w:tcW w:type="dxa" w:w="2088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Conditions, owners, and due dates</w:t>
            </w:r>
          </w:p>
        </w:tc>
        <w:tc>
          <w:tcPr>
            <w:tcW w:type="dxa" w:w="446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Link every condition to an accountable owner and verification date</w:t>
            </w:r>
          </w:p>
        </w:tc>
        <w:tc>
          <w:tcPr>
            <w:tcW w:type="dxa" w:w="345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Clinical safety lead—complete 90-day review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Decision authority and date</w:t>
            </w:r>
          </w:p>
        </w:tc>
        <w:tc>
          <w:tcPr>
            <w:tcW w:type="dxa" w:w="446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Named committee or executive authority</w:t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AI Governance Committee; 30 July 2026</w:t>
            </w:r>
          </w:p>
        </w:tc>
      </w:tr>
      <w:tr>
        <w:tc>
          <w:tcPr>
            <w:tcW w:type="dxa" w:w="2088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Next review or trigger event</w:t>
            </w:r>
          </w:p>
        </w:tc>
        <w:tc>
          <w:tcPr>
            <w:tcW w:type="dxa" w:w="446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Date and event-triggered review conditions</w:t>
            </w:r>
          </w:p>
        </w:tc>
        <w:tc>
          <w:tcPr>
            <w:tcW w:type="dxa" w:w="345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Monthly during pilot; immediate review after material update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head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re"/>
    </w:pPr>
    <w:r>
      <w:rPr>
        <w:color w:val="5F5A5B"/>
        <w:sz w:val="15"/>
      </w:rPr>
      <w:t>Muthana Zouri · Carmen Marinela Cumpăt · Grigore T. Popa University of Medicine and Pharmacy Publishing House · 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re"/>
    </w:pPr>
    <w:r/>
    <w:r>
      <w:rPr>
        <w:rFonts w:ascii="Georgia" w:hAnsi="Georgia"/>
        <w:b/>
        <w:color w:val="7B1734"/>
        <w:sz w:val="17"/>
      </w:rPr>
      <w:t>Artificial Intelligence and Healthcare Economics</w:t>
    </w:r>
    <w:r>
      <w:rPr>
        <w:color w:val="5F5A5B"/>
        <w:sz w:val="16"/>
      </w:rPr>
      <w:t xml:space="preserve"> · Digital Resource Companion · V1.0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re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4E79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F4E79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ns0:Properties xmlns:ns0="http://schemas.openxmlformats.org/officeDocument/2006/extended-properties" xmlns:ns1="http://schemas.openxmlformats.org/officeDocument/2006/docPropsVTypes">
  <ns0:Template>Normal.dotm</ns0:Template>
  <ns0:TotalTime>0</ns0:TotalTime>
  <ns0:Pages>1</ns0:Pages>
  <ns0:Words>0</ns0:Words>
  <ns0:Characters>0</ns0:Characters>
  <ns0:Application>Office document</ns0:Application>
  <ns0:DocSecurity>0</ns0:DocSecurity>
  <ns0:Lines>0</ns0:Lines>
  <ns0:Paragraphs>0</ns0:Paragraphs>
  <ns0:ScaleCrop>false</ns0:ScaleCrop>
  <ns0:HeadingPairs>
    <ns1:vector size="2" baseType="variant">
      <ns1:variant>
        <ns1:lpstr>Title</ns1:lpstr>
      </ns1:variant>
      <ns1:variant>
        <ns1:i4>1</ns1:i4>
      </ns1:variant>
    </ns1:vector>
  </ns0:HeadingPairs>
  <ns0:TitlesOfParts>
    <ns1:vector size="1" baseType="lpstr">
      <ns1:lpstr/>
    </ns1:vector>
  </ns0:TitlesOfParts>
  <ns0:Manager/>
  <ns0:Company/>
  <ns0:LinksUpToDate>false</ns0:LinksUpToDate>
  <ns0:CharactersWithSpaces>0</ns0:CharactersWithSpaces>
  <ns0:SharedDoc>false</ns0:SharedDoc>
  <ns0:HyperlinkBase/>
  <ns0:HyperlinksChanged>false</ns0:HyperlinksChanged>
  <ns0:AppVersion/>
</ns0: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>AIHE-EX12 worked example</dc:title>
  <dc:creator>Muthana Zouri; Carmen Marinela Cumpăt</dc:creator>
  <ns0:lastModifiedBy/>
  <ns2:created xsi:type="dcterms:W3CDTF">2026-08-06T00:00:00Z</ns2:created>
  <ns2:modified xsi:type="dcterms:W3CDTF">2026-08-06T00:00:00Z</ns2:modified>
  <dc:description/>
  <dc:subject>Evidence, Value, Governance, and Sustainability</dc:subject>
  <ns0:category>Digital Resource Companion</ns0:category>
  <ns0:keywords>healthcare economics; artificial intelligence; governance; sustainable value</ns0:keywords>
</ns0:coreProperties>
</file>