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AIHE-D05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Material Change, Reauthorization, Renewal, Replacement, and Retirement Record</w:t>
      </w:r>
    </w:p>
    <w:p>
      <w:pPr>
        <w:pStyle w:val="Subtitle"/>
      </w:pPr>
      <w:r>
        <w:rPr>
          <w:color w:val="25272D"/>
          <w:sz w:val="26"/>
        </w:rPr>
        <w:t>Assess material changes and periodic renewal across system, data, workflow, vendor, price, law, evidence, alternatives, and exit.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AIHE-D05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12: Decision Architecture and Lifecycle Governance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Change identity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Change ID, previous version, proposed version, date, and requester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Maintain a controlled change record.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Changed component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Model, data source, threshold, interface, workflow, intended use, infrastructure, supplier, price, or dependency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every material component.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Materiality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Clinical, technical, economic, equity, security, contractual, and organizational rationale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why prior evidence may or may not remain applicable.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impact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invalidated, weakened, unchanged, or newly required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Link to authoritative records.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Interim state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Continue, restrict, suspend, or maintain fallback during review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Protect continuity.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Revalidation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Testing, evaluation, assurance, and user preparation required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owners and dates.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Approve change, reject, require redesign, reauthorize, renegotiate, replace, or retire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Name the authority.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Transition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Continuity, migration, data closure, communication, and exit plan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Control the change.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End of authorization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Retired version, effective date, records retained, final liabilities, and closure authority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Document when authorization ends.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Change identity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Change ID, previous version, proposed version, date, and requester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Maintain a controlled change record.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Changed component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Model, data source, threshold, interface, workflow, intended use, infrastructure, supplier, price, or dependency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every material component.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Materiality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Clinical, technical, economic, equity, security, contractual, and organizational rationale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why prior evidence may or may not remain applicable.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impact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invalidated, weakened, unchanged, or newly required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Link to authoritative records.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Interim state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Continue, restrict, suspend, or maintain fallback during review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Protect continuity.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Revalidation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Testing, evaluation, assurance, and user preparation required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owners and dates.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Approve change, reject, require redesign, reauthorize, renegotiate, replace, or retire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Name the authority.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Transition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Continuity, migration, data closure, communication, and exit plan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Control the change.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End of authorization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Retired version, effective date, records retained, final liabilities, and closure authority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Document when authorization ends.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AIHE-D05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AIHE-D05 — Material Change, Reauthorization, Renewal, Replacement, and Retirement Record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