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584"/>
        <w:gridCol w:w="8496"/>
      </w:tblGrid>
      <w:tr>
        <w:tc>
          <w:tcPr>
            <w:tcW w:type="dxa" w:w="5184"/>
            <w:shd w:fill="7B173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/>
            </w:pPr>
            <w:r/>
            <w:r>
              <w:rPr>
                <w:b/>
                <w:color w:val="FFFFFF"/>
                <w:sz w:val="20"/>
              </w:rPr>
              <w:t>AIHE-E01</w:t>
            </w:r>
          </w:p>
        </w:tc>
        <w:tc>
          <w:tcPr>
            <w:tcW w:type="dxa" w:w="5184"/>
            <w:shd w:fill="25272D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/>
            </w:pPr>
            <w:r/>
            <w:r>
              <w:rPr>
                <w:b/>
                <w:color w:val="FFFFFF"/>
                <w:sz w:val="20"/>
              </w:rPr>
              <w:t>ARTIFICIAL INTELLIGENCE AND HEALTHCARE ECONOMICS</w:t>
            </w:r>
          </w:p>
        </w:tc>
      </w:tr>
    </w:tbl>
    <w:p/>
    <w:p>
      <w:pPr>
        <w:pStyle w:val="Title"/>
        <w:jc w:val="left"/>
      </w:pPr>
      <w:r>
        <w:t>Circular-Economy and Sustainable-AI Assessment</w:t>
      </w:r>
    </w:p>
    <w:p>
      <w:pPr>
        <w:pStyle w:val="Subtitle"/>
      </w:pPr>
      <w:r>
        <w:rPr>
          <w:color w:val="25272D"/>
          <w:sz w:val="26"/>
        </w:rPr>
        <w:t>Apply the circularity hierarchy from prevention and reduction through sharing, maintenance, reuse, refurbishment, recovery, and disposal.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shd w:fill="F7F1E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/>
            </w:pPr>
            <w:r/>
            <w:r>
              <w:rPr>
                <w:b/>
                <w:color w:val="7B1734"/>
                <w:sz w:val="18"/>
              </w:rPr>
              <w:t>Resource identifier</w:t>
            </w:r>
          </w:p>
        </w:tc>
        <w:tc>
          <w:tcPr>
            <w:tcW w:type="dxa" w:w="5184"/>
            <w:shd w:fill="FFFFFF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/>
            </w:pPr>
            <w:r/>
            <w:r>
              <w:rPr>
                <w:b w:val="0"/>
                <w:color w:val="25272D"/>
                <w:sz w:val="18"/>
              </w:rPr>
              <w:t>AIHE-E01</w:t>
            </w:r>
          </w:p>
        </w:tc>
      </w:tr>
      <w:tr>
        <w:tc>
          <w:tcPr>
            <w:tcW w:type="dxa" w:w="5184"/>
            <w:shd w:fill="F7F1E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/>
            </w:pPr>
            <w:r/>
            <w:r>
              <w:rPr>
                <w:b/>
                <w:color w:val="7B1734"/>
                <w:sz w:val="18"/>
              </w:rPr>
              <w:t>Primary chapter</w:t>
            </w:r>
          </w:p>
        </w:tc>
        <w:tc>
          <w:tcPr>
            <w:tcW w:type="dxa" w:w="5184"/>
            <w:shd w:fill="FFFFFF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/>
            </w:pPr>
            <w:r/>
            <w:r>
              <w:rPr>
                <w:b w:val="0"/>
                <w:color w:val="25272D"/>
                <w:sz w:val="18"/>
              </w:rPr>
              <w:t>Chapter 13: Circular Health Systems and Resource Stewardship</w:t>
            </w:r>
          </w:p>
        </w:tc>
      </w:tr>
      <w:tr>
        <w:tc>
          <w:tcPr>
            <w:tcW w:type="dxa" w:w="5184"/>
            <w:shd w:fill="F7F1E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/>
            </w:pPr>
            <w:r/>
            <w:r>
              <w:rPr>
                <w:b/>
                <w:color w:val="7B1734"/>
                <w:sz w:val="18"/>
              </w:rPr>
              <w:t>Release</w:t>
            </w:r>
          </w:p>
        </w:tc>
        <w:tc>
          <w:tcPr>
            <w:tcW w:type="dxa" w:w="5184"/>
            <w:shd w:fill="FFFFFF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/>
            </w:pPr>
            <w:r/>
            <w:r>
              <w:rPr>
                <w:b w:val="0"/>
                <w:color w:val="25272D"/>
                <w:sz w:val="18"/>
              </w:rPr>
              <w:t>Digital Resource Companion V1.0</w:t>
            </w:r>
          </w:p>
        </w:tc>
      </w:tr>
      <w:tr>
        <w:tc>
          <w:tcPr>
            <w:tcW w:type="dxa" w:w="5184"/>
            <w:shd w:fill="F7F1E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/>
            </w:pPr>
            <w:r/>
            <w:r>
              <w:rPr>
                <w:b/>
                <w:color w:val="7B1734"/>
                <w:sz w:val="18"/>
              </w:rPr>
              <w:t>Status</w:t>
            </w:r>
          </w:p>
        </w:tc>
        <w:tc>
          <w:tcPr>
            <w:tcW w:type="dxa" w:w="5184"/>
            <w:shd w:fill="FFFFFF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/>
            </w:pPr>
            <w:r/>
            <w:r>
              <w:rPr>
                <w:b w:val="0"/>
                <w:color w:val="25272D"/>
                <w:sz w:val="18"/>
              </w:rPr>
              <w:t>Current consolidated resource</w:t>
            </w:r>
          </w:p>
        </w:tc>
      </w:tr>
      <w:tr>
        <w:tc>
          <w:tcPr>
            <w:tcW w:type="dxa" w:w="5184"/>
            <w:shd w:fill="F7F1E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/>
            </w:pPr>
            <w:r/>
            <w:r>
              <w:rPr>
                <w:b/>
                <w:color w:val="7B1734"/>
                <w:sz w:val="18"/>
              </w:rPr>
              <w:t>Evidence policy</w:t>
            </w:r>
          </w:p>
        </w:tc>
        <w:tc>
          <w:tcPr>
            <w:tcW w:type="dxa" w:w="5184"/>
            <w:shd w:fill="FFFFFF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/>
            </w:pPr>
            <w:r/>
            <w:r>
              <w:rPr>
                <w:b w:val="0"/>
                <w:color w:val="25272D"/>
                <w:sz w:val="18"/>
              </w:rPr>
              <w:t>Record the evidence cut-off, intervention version, ownership, review date, and any local modifications.</w:t>
            </w:r>
          </w:p>
        </w:tc>
      </w:tr>
    </w:tbl>
    <w:p/>
    <w:p>
      <w:pPr>
        <w:jc w:val="left"/>
      </w:pPr>
      <w:r>
        <w:rPr>
          <w:b/>
          <w:color w:val="7B1734"/>
        </w:rPr>
        <w:t>Muthana Zouri · Carmen Marinela Cumpăt</w:t>
      </w:r>
    </w:p>
    <w:p>
      <w:r>
        <w:rPr>
          <w:color w:val="25272D"/>
          <w:sz w:val="18"/>
        </w:rPr>
        <w:t>Grigore T. Popa University of Medicine and Pharmacy Publishing House, 2026</w:t>
      </w:r>
    </w:p>
    <w:p>
      <w:r>
        <w:br w:type="page"/>
      </w:r>
    </w:p>
    <w:p>
      <w:pPr>
        <w:pStyle w:val="Heading1"/>
      </w:pPr>
      <w:r>
        <w:t>How to use this resource</w:t>
      </w:r>
    </w:p>
    <w:p>
      <w:r>
        <w:t>Use this record to structure a documented institutional discussion. It does not replace the specialist analyses or accountable judgements required by the decision.</w:t>
      </w:r>
    </w:p>
    <w:p>
      <w:pPr>
        <w:pStyle w:val="ListBullet"/>
        <w:spacing w:after="60"/>
      </w:pPr>
      <w:r>
        <w:t>Begin with a defined decision, population, setting, intended use, realistic comparator, and accountable authority.</w:t>
      </w:r>
    </w:p>
    <w:p>
      <w:pPr>
        <w:pStyle w:val="ListBullet"/>
        <w:spacing w:after="60"/>
      </w:pPr>
      <w:r>
        <w:t>Use only the sections relevant to the decision; add specialist records where consequence, uncertainty, or institutional dependence warrants them.</w:t>
      </w:r>
    </w:p>
    <w:p>
      <w:pPr>
        <w:pStyle w:val="ListBullet"/>
        <w:spacing w:after="60"/>
      </w:pPr>
      <w:r>
        <w:t>Create a governed local copy. Retain the resource identifier, V1.0, evidence cut-off, intervention version, owner, review date, and local modifications.</w:t>
      </w:r>
    </w:p>
    <w:p>
      <w:pPr>
        <w:pStyle w:val="ListBullet"/>
        <w:spacing w:after="60"/>
      </w:pPr>
      <w:r>
        <w:t>Replace the synthetic worked example with authorized, versioned evidence. Preserve uncertainty, disagreements, and limitations explicitly.</w:t>
      </w:r>
    </w:p>
    <w:p>
      <w:pPr>
        <w:pStyle w:val="ListBullet"/>
        <w:spacing w:after="60"/>
      </w:pPr>
      <w:r>
        <w:t>Do not enter identifiable patient information, credentials, confidential contracts, or other restricted information into an uncontrolled copy.</w:t>
      </w:r>
    </w:p>
    <w:p>
      <w:pPr>
        <w:pStyle w:val="ListBullet"/>
        <w:spacing w:after="60"/>
      </w:pPr>
      <w:r>
        <w:t>Conclude with a current decision, conditions, mandatory safeguards, monitoring thresholds, transition triggers, next review, and credible exit route where relevant.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fill="F7F1E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/>
            </w:pPr>
            <w:r/>
            <w:r>
              <w:rPr>
                <w:b/>
                <w:color w:val="7B1734"/>
                <w:sz w:val="18"/>
              </w:rPr>
              <w:t>Framework status: author-developed decision-support record. A completed form does not establish regulatory compliance, safety, effectiveness, equity, affordability, sustainability, or institutional authorization.</w:t>
            </w:r>
          </w:p>
        </w:tc>
      </w:tr>
    </w:tbl>
    <w:p/>
    <w:p>
      <w:pPr>
        <w:sectPr>
          <w:footerReference w:type="default" r:id="rId9"/>
          <w:pgSz w:w="12240" w:h="15840"/>
          <w:pgMar w:top="792" w:right="936" w:bottom="792" w:left="936" w:header="360" w:footer="432" w:gutter="0"/>
          <w:cols w:space="720"/>
          <w:docGrid w:linePitch="360"/>
        </w:sectPr>
      </w:pPr>
    </w:p>
    <w:p>
      <w:pPr>
        <w:pStyle w:val="Heading1"/>
      </w:pPr>
      <w:r>
        <w:t>Blank institutional record</w:t>
      </w:r>
    </w:p>
    <w:p>
      <w:r>
        <w:t>Complete the record in a controlled working copy. Expand rows when additional evidence, dissent, or conditions must be preserved.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00"/>
        <w:gridCol w:w="3096"/>
        <w:gridCol w:w="3168"/>
        <w:gridCol w:w="3744"/>
        <w:gridCol w:w="2520"/>
      </w:tblGrid>
      <w:tr>
        <w:trPr>
          <w:tblHeader w:val="true"/>
        </w:trPr>
        <w:tc>
          <w:tcPr>
            <w:tcW w:type="dxa" w:w="2938"/>
            <w:shd w:fill="7B173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/>
            </w:pPr>
            <w:r/>
            <w:r>
              <w:rPr>
                <w:b/>
                <w:color w:val="FFFFFF"/>
                <w:sz w:val="17"/>
              </w:rPr>
              <w:t>Section</w:t>
            </w:r>
          </w:p>
        </w:tc>
        <w:tc>
          <w:tcPr>
            <w:tcW w:type="dxa" w:w="2938"/>
            <w:shd w:fill="7B173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/>
            </w:pPr>
            <w:r/>
            <w:r>
              <w:rPr>
                <w:b/>
                <w:color w:val="FFFFFF"/>
                <w:sz w:val="17"/>
              </w:rPr>
              <w:t>Field or question</w:t>
            </w:r>
          </w:p>
        </w:tc>
        <w:tc>
          <w:tcPr>
            <w:tcW w:type="dxa" w:w="2938"/>
            <w:shd w:fill="7B173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/>
            </w:pPr>
            <w:r/>
            <w:r>
              <w:rPr>
                <w:b/>
                <w:color w:val="FFFFFF"/>
                <w:sz w:val="17"/>
              </w:rPr>
              <w:t>Guidance</w:t>
            </w:r>
          </w:p>
        </w:tc>
        <w:tc>
          <w:tcPr>
            <w:tcW w:type="dxa" w:w="2938"/>
            <w:shd w:fill="7B173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/>
            </w:pPr>
            <w:r/>
            <w:r>
              <w:rPr>
                <w:b/>
                <w:color w:val="FFFFFF"/>
                <w:sz w:val="17"/>
              </w:rPr>
              <w:t>Response or evidence</w:t>
            </w:r>
          </w:p>
        </w:tc>
        <w:tc>
          <w:tcPr>
            <w:tcW w:type="dxa" w:w="2938"/>
            <w:shd w:fill="7B173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/>
            </w:pPr>
            <w:r/>
            <w:r>
              <w:rPr>
                <w:b/>
                <w:color w:val="FFFFFF"/>
                <w:sz w:val="17"/>
              </w:rPr>
              <w:t>Ownership, timing, and version</w:t>
            </w:r>
          </w:p>
        </w:tc>
      </w:tr>
      <w:tr>
        <w:tc>
          <w:tcPr>
            <w:tcW w:type="dxa" w:w="1800"/>
            <w:shd w:fill="FFFFFF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/>
            </w:pPr>
            <w:r/>
            <w:r>
              <w:rPr>
                <w:b w:val="0"/>
                <w:color w:val="25272D"/>
                <w:sz w:val="16"/>
              </w:rPr>
              <w:t>Resource system</w:t>
            </w:r>
          </w:p>
        </w:tc>
        <w:tc>
          <w:tcPr>
            <w:tcW w:type="dxa" w:w="3096"/>
            <w:shd w:fill="FFFFFF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/>
            </w:pPr>
            <w:r/>
            <w:r>
              <w:rPr>
                <w:b w:val="0"/>
                <w:color w:val="25272D"/>
                <w:sz w:val="16"/>
              </w:rPr>
              <w:t>Service function, functional unit, and system boundary</w:t>
            </w:r>
          </w:p>
        </w:tc>
        <w:tc>
          <w:tcPr>
            <w:tcW w:type="dxa" w:w="3168"/>
            <w:shd w:fill="FFFFFF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/>
            </w:pPr>
            <w:r/>
            <w:r>
              <w:rPr>
                <w:b w:val="0"/>
                <w:color w:val="25272D"/>
                <w:sz w:val="16"/>
              </w:rPr>
              <w:t>Anchor resource accounting to useful output.</w:t>
            </w:r>
          </w:p>
        </w:tc>
        <w:tc>
          <w:tcPr>
            <w:tcW w:type="dxa" w:w="3744"/>
            <w:shd w:fill="FFFFFF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/>
            </w:pPr>
            <w:r/>
            <w:r>
              <w:rPr>
                <w:b w:val="0"/>
                <w:color w:val="25272D"/>
                <w:sz w:val="16"/>
              </w:rPr>
            </w:r>
          </w:p>
        </w:tc>
        <w:tc>
          <w:tcPr>
            <w:tcW w:type="dxa" w:w="2520"/>
            <w:shd w:fill="FFFFFF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/>
            </w:pPr>
            <w:r/>
            <w:r>
              <w:rPr>
                <w:b w:val="0"/>
                <w:color w:val="25272D"/>
                <w:sz w:val="16"/>
              </w:rPr>
            </w:r>
          </w:p>
        </w:tc>
      </w:tr>
      <w:tr>
        <w:tc>
          <w:tcPr>
            <w:tcW w:type="dxa" w:w="1800"/>
            <w:shd w:fill="F7F1E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/>
            </w:pPr>
            <w:r/>
            <w:r>
              <w:rPr>
                <w:b w:val="0"/>
                <w:color w:val="25272D"/>
                <w:sz w:val="16"/>
              </w:rPr>
              <w:t>Stocks and flows</w:t>
            </w:r>
          </w:p>
        </w:tc>
        <w:tc>
          <w:tcPr>
            <w:tcW w:type="dxa" w:w="3096"/>
            <w:shd w:fill="F7F1E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/>
            </w:pPr>
            <w:r/>
            <w:r>
              <w:rPr>
                <w:b w:val="0"/>
                <w:color w:val="25272D"/>
                <w:sz w:val="16"/>
              </w:rPr>
              <w:t>Asset or material stock, inflow, use, outflow, and destination</w:t>
            </w:r>
          </w:p>
        </w:tc>
        <w:tc>
          <w:tcPr>
            <w:tcW w:type="dxa" w:w="3168"/>
            <w:shd w:fill="F7F1E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/>
            </w:pPr>
            <w:r/>
            <w:r>
              <w:rPr>
                <w:b w:val="0"/>
                <w:color w:val="25272D"/>
                <w:sz w:val="16"/>
              </w:rPr>
              <w:t>Use physical quantities where possible.</w:t>
            </w:r>
          </w:p>
        </w:tc>
        <w:tc>
          <w:tcPr>
            <w:tcW w:type="dxa" w:w="3744"/>
            <w:shd w:fill="F7F1E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/>
            </w:pPr>
            <w:r/>
            <w:r>
              <w:rPr>
                <w:b w:val="0"/>
                <w:color w:val="25272D"/>
                <w:sz w:val="16"/>
              </w:rPr>
            </w:r>
          </w:p>
        </w:tc>
        <w:tc>
          <w:tcPr>
            <w:tcW w:type="dxa" w:w="2520"/>
            <w:shd w:fill="F7F1E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/>
            </w:pPr>
            <w:r/>
            <w:r>
              <w:rPr>
                <w:b w:val="0"/>
                <w:color w:val="25272D"/>
                <w:sz w:val="16"/>
              </w:rPr>
            </w:r>
          </w:p>
        </w:tc>
      </w:tr>
      <w:tr>
        <w:tc>
          <w:tcPr>
            <w:tcW w:type="dxa" w:w="1800"/>
            <w:shd w:fill="FFFFFF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/>
            </w:pPr>
            <w:r/>
            <w:r>
              <w:rPr>
                <w:b w:val="0"/>
                <w:color w:val="25272D"/>
                <w:sz w:val="16"/>
              </w:rPr>
              <w:t>Value-retention pathway</w:t>
            </w:r>
          </w:p>
        </w:tc>
        <w:tc>
          <w:tcPr>
            <w:tcW w:type="dxa" w:w="3096"/>
            <w:shd w:fill="FFFFFF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/>
            </w:pPr>
            <w:r/>
            <w:r>
              <w:rPr>
                <w:b w:val="0"/>
                <w:color w:val="25272D"/>
                <w:sz w:val="16"/>
              </w:rPr>
              <w:t>Avoid, share/intensify, maintain, repair, reuse, refurbish, remanufacture, repurpose, recycle, recover, dispose</w:t>
            </w:r>
          </w:p>
        </w:tc>
        <w:tc>
          <w:tcPr>
            <w:tcW w:type="dxa" w:w="3168"/>
            <w:shd w:fill="FFFFFF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/>
            </w:pPr>
            <w:r/>
            <w:r>
              <w:rPr>
                <w:b w:val="0"/>
                <w:color w:val="25272D"/>
                <w:sz w:val="16"/>
              </w:rPr>
              <w:t>Classify inner and outer loops.</w:t>
            </w:r>
          </w:p>
        </w:tc>
        <w:tc>
          <w:tcPr>
            <w:tcW w:type="dxa" w:w="3744"/>
            <w:shd w:fill="FFFFFF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/>
            </w:pPr>
            <w:r/>
            <w:r>
              <w:rPr>
                <w:b w:val="0"/>
                <w:color w:val="25272D"/>
                <w:sz w:val="16"/>
              </w:rPr>
            </w:r>
          </w:p>
        </w:tc>
        <w:tc>
          <w:tcPr>
            <w:tcW w:type="dxa" w:w="2520"/>
            <w:shd w:fill="FFFFFF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/>
            </w:pPr>
            <w:r/>
            <w:r>
              <w:rPr>
                <w:b w:val="0"/>
                <w:color w:val="25272D"/>
                <w:sz w:val="16"/>
              </w:rPr>
            </w:r>
          </w:p>
        </w:tc>
      </w:tr>
      <w:tr>
        <w:tc>
          <w:tcPr>
            <w:tcW w:type="dxa" w:w="1800"/>
            <w:shd w:fill="F7F1E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/>
            </w:pPr>
            <w:r/>
            <w:r>
              <w:rPr>
                <w:b w:val="0"/>
                <w:color w:val="25272D"/>
                <w:sz w:val="16"/>
              </w:rPr>
              <w:t>Circular leakage</w:t>
            </w:r>
          </w:p>
        </w:tc>
        <w:tc>
          <w:tcPr>
            <w:tcW w:type="dxa" w:w="3096"/>
            <w:shd w:fill="F7F1E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/>
            </w:pPr>
            <w:r/>
            <w:r>
              <w:rPr>
                <w:b w:val="0"/>
                <w:color w:val="25272D"/>
                <w:sz w:val="16"/>
              </w:rPr>
              <w:t>Value or material lost between intended and realized pathway</w:t>
            </w:r>
          </w:p>
        </w:tc>
        <w:tc>
          <w:tcPr>
            <w:tcW w:type="dxa" w:w="3168"/>
            <w:shd w:fill="F7F1E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/>
            </w:pPr>
            <w:r/>
            <w:r>
              <w:rPr>
                <w:b w:val="0"/>
                <w:color w:val="25272D"/>
                <w:sz w:val="16"/>
              </w:rPr>
              <w:t>Identify causes and controls.</w:t>
            </w:r>
          </w:p>
        </w:tc>
        <w:tc>
          <w:tcPr>
            <w:tcW w:type="dxa" w:w="3744"/>
            <w:shd w:fill="F7F1E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/>
            </w:pPr>
            <w:r/>
            <w:r>
              <w:rPr>
                <w:b w:val="0"/>
                <w:color w:val="25272D"/>
                <w:sz w:val="16"/>
              </w:rPr>
            </w:r>
          </w:p>
        </w:tc>
        <w:tc>
          <w:tcPr>
            <w:tcW w:type="dxa" w:w="2520"/>
            <w:shd w:fill="F7F1E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/>
            </w:pPr>
            <w:r/>
            <w:r>
              <w:rPr>
                <w:b w:val="0"/>
                <w:color w:val="25272D"/>
                <w:sz w:val="16"/>
              </w:rPr>
            </w:r>
          </w:p>
        </w:tc>
      </w:tr>
      <w:tr>
        <w:tc>
          <w:tcPr>
            <w:tcW w:type="dxa" w:w="1800"/>
            <w:shd w:fill="FFFFFF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/>
            </w:pPr>
            <w:r/>
            <w:r>
              <w:rPr>
                <w:b w:val="0"/>
                <w:color w:val="25272D"/>
                <w:sz w:val="16"/>
              </w:rPr>
              <w:t>Resource intensity</w:t>
            </w:r>
          </w:p>
        </w:tc>
        <w:tc>
          <w:tcPr>
            <w:tcW w:type="dxa" w:w="3096"/>
            <w:shd w:fill="FFFFFF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/>
            </w:pPr>
            <w:r/>
            <w:r>
              <w:rPr>
                <w:b w:val="0"/>
                <w:color w:val="25272D"/>
                <w:sz w:val="16"/>
              </w:rPr>
              <w:t>Energy, water, material, hardware, transport, or service resource per functional unit</w:t>
            </w:r>
          </w:p>
        </w:tc>
        <w:tc>
          <w:tcPr>
            <w:tcW w:type="dxa" w:w="3168"/>
            <w:shd w:fill="FFFFFF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/>
            </w:pPr>
            <w:r/>
            <w:r>
              <w:rPr>
                <w:b w:val="0"/>
                <w:color w:val="25272D"/>
                <w:sz w:val="16"/>
              </w:rPr>
              <w:t>Distinguish average and marginal values.</w:t>
            </w:r>
          </w:p>
        </w:tc>
        <w:tc>
          <w:tcPr>
            <w:tcW w:type="dxa" w:w="3744"/>
            <w:shd w:fill="FFFFFF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/>
            </w:pPr>
            <w:r/>
            <w:r>
              <w:rPr>
                <w:b w:val="0"/>
                <w:color w:val="25272D"/>
                <w:sz w:val="16"/>
              </w:rPr>
            </w:r>
          </w:p>
        </w:tc>
        <w:tc>
          <w:tcPr>
            <w:tcW w:type="dxa" w:w="2520"/>
            <w:shd w:fill="FFFFFF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/>
            </w:pPr>
            <w:r/>
            <w:r>
              <w:rPr>
                <w:b w:val="0"/>
                <w:color w:val="25272D"/>
                <w:sz w:val="16"/>
              </w:rPr>
            </w:r>
          </w:p>
        </w:tc>
      </w:tr>
      <w:tr>
        <w:tc>
          <w:tcPr>
            <w:tcW w:type="dxa" w:w="1800"/>
            <w:shd w:fill="F7F1E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/>
            </w:pPr>
            <w:r/>
            <w:r>
              <w:rPr>
                <w:b w:val="0"/>
                <w:color w:val="25272D"/>
                <w:sz w:val="16"/>
              </w:rPr>
              <w:t>AI bidirectional effect</w:t>
            </w:r>
          </w:p>
        </w:tc>
        <w:tc>
          <w:tcPr>
            <w:tcW w:type="dxa" w:w="3096"/>
            <w:shd w:fill="F7F1E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/>
            </w:pPr>
            <w:r/>
            <w:r>
              <w:rPr>
                <w:b w:val="0"/>
                <w:color w:val="25272D"/>
                <w:sz w:val="16"/>
              </w:rPr>
              <w:t>AI-enabled reduction and AI-created resource demand</w:t>
            </w:r>
          </w:p>
        </w:tc>
        <w:tc>
          <w:tcPr>
            <w:tcW w:type="dxa" w:w="3168"/>
            <w:shd w:fill="F7F1E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/>
            </w:pPr>
            <w:r/>
            <w:r>
              <w:rPr>
                <w:b w:val="0"/>
                <w:color w:val="25272D"/>
                <w:sz w:val="16"/>
              </w:rPr>
              <w:t>Report both directions.</w:t>
            </w:r>
          </w:p>
        </w:tc>
        <w:tc>
          <w:tcPr>
            <w:tcW w:type="dxa" w:w="3744"/>
            <w:shd w:fill="F7F1E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/>
            </w:pPr>
            <w:r/>
            <w:r>
              <w:rPr>
                <w:b w:val="0"/>
                <w:color w:val="25272D"/>
                <w:sz w:val="16"/>
              </w:rPr>
            </w:r>
          </w:p>
        </w:tc>
        <w:tc>
          <w:tcPr>
            <w:tcW w:type="dxa" w:w="2520"/>
            <w:shd w:fill="F7F1E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/>
            </w:pPr>
            <w:r/>
            <w:r>
              <w:rPr>
                <w:b w:val="0"/>
                <w:color w:val="25272D"/>
                <w:sz w:val="16"/>
              </w:rPr>
            </w:r>
          </w:p>
        </w:tc>
      </w:tr>
      <w:tr>
        <w:tc>
          <w:tcPr>
            <w:tcW w:type="dxa" w:w="1800"/>
            <w:shd w:fill="FFFFFF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/>
            </w:pPr>
            <w:r/>
            <w:r>
              <w:rPr>
                <w:b w:val="0"/>
                <w:color w:val="25272D"/>
                <w:sz w:val="16"/>
              </w:rPr>
              <w:t>Rebound</w:t>
            </w:r>
          </w:p>
        </w:tc>
        <w:tc>
          <w:tcPr>
            <w:tcW w:type="dxa" w:w="3096"/>
            <w:shd w:fill="FFFFFF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/>
            </w:pPr>
            <w:r/>
            <w:r>
              <w:rPr>
                <w:b w:val="0"/>
                <w:color w:val="25272D"/>
                <w:sz w:val="16"/>
              </w:rPr>
              <w:t>Volume growth, induced demand, or behavioural response</w:t>
            </w:r>
          </w:p>
        </w:tc>
        <w:tc>
          <w:tcPr>
            <w:tcW w:type="dxa" w:w="3168"/>
            <w:shd w:fill="FFFFFF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/>
            </w:pPr>
            <w:r/>
            <w:r>
              <w:rPr>
                <w:b w:val="0"/>
                <w:color w:val="25272D"/>
                <w:sz w:val="16"/>
              </w:rPr>
              <w:t>Test total as well as per-unit effects.</w:t>
            </w:r>
          </w:p>
        </w:tc>
        <w:tc>
          <w:tcPr>
            <w:tcW w:type="dxa" w:w="3744"/>
            <w:shd w:fill="FFFFFF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/>
            </w:pPr>
            <w:r/>
            <w:r>
              <w:rPr>
                <w:b w:val="0"/>
                <w:color w:val="25272D"/>
                <w:sz w:val="16"/>
              </w:rPr>
            </w:r>
          </w:p>
        </w:tc>
        <w:tc>
          <w:tcPr>
            <w:tcW w:type="dxa" w:w="2520"/>
            <w:shd w:fill="FFFFFF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/>
            </w:pPr>
            <w:r/>
            <w:r>
              <w:rPr>
                <w:b w:val="0"/>
                <w:color w:val="25272D"/>
                <w:sz w:val="16"/>
              </w:rPr>
            </w:r>
          </w:p>
        </w:tc>
      </w:tr>
      <w:tr>
        <w:tc>
          <w:tcPr>
            <w:tcW w:type="dxa" w:w="1800"/>
            <w:shd w:fill="F7F1E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/>
            </w:pPr>
            <w:r/>
            <w:r>
              <w:rPr>
                <w:b w:val="0"/>
                <w:color w:val="25272D"/>
                <w:sz w:val="16"/>
              </w:rPr>
              <w:t>Distribution</w:t>
            </w:r>
          </w:p>
        </w:tc>
        <w:tc>
          <w:tcPr>
            <w:tcW w:type="dxa" w:w="3096"/>
            <w:shd w:fill="F7F1E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/>
            </w:pPr>
            <w:r/>
            <w:r>
              <w:rPr>
                <w:b w:val="0"/>
                <w:color w:val="25272D"/>
                <w:sz w:val="16"/>
              </w:rPr>
              <w:t>Spatial burden, supply-chain burden, labour, and affected communities</w:t>
            </w:r>
          </w:p>
        </w:tc>
        <w:tc>
          <w:tcPr>
            <w:tcW w:type="dxa" w:w="3168"/>
            <w:shd w:fill="F7F1E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/>
            </w:pPr>
            <w:r/>
            <w:r>
              <w:rPr>
                <w:b w:val="0"/>
                <w:color w:val="25272D"/>
                <w:sz w:val="16"/>
              </w:rPr>
              <w:t>Avoid hidden burden shifting.</w:t>
            </w:r>
          </w:p>
        </w:tc>
        <w:tc>
          <w:tcPr>
            <w:tcW w:type="dxa" w:w="3744"/>
            <w:shd w:fill="F7F1E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/>
            </w:pPr>
            <w:r/>
            <w:r>
              <w:rPr>
                <w:b w:val="0"/>
                <w:color w:val="25272D"/>
                <w:sz w:val="16"/>
              </w:rPr>
            </w:r>
          </w:p>
        </w:tc>
        <w:tc>
          <w:tcPr>
            <w:tcW w:type="dxa" w:w="2520"/>
            <w:shd w:fill="F7F1E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/>
            </w:pPr>
            <w:r/>
            <w:r>
              <w:rPr>
                <w:b w:val="0"/>
                <w:color w:val="25272D"/>
                <w:sz w:val="16"/>
              </w:rPr>
            </w:r>
          </w:p>
        </w:tc>
      </w:tr>
      <w:tr>
        <w:tc>
          <w:tcPr>
            <w:tcW w:type="dxa" w:w="1800"/>
            <w:shd w:fill="FFFFFF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/>
            </w:pPr>
            <w:r/>
            <w:r>
              <w:rPr>
                <w:b w:val="0"/>
                <w:color w:val="25272D"/>
                <w:sz w:val="16"/>
              </w:rPr>
              <w:t>Decision</w:t>
            </w:r>
          </w:p>
        </w:tc>
        <w:tc>
          <w:tcPr>
            <w:tcW w:type="dxa" w:w="3096"/>
            <w:shd w:fill="FFFFFF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/>
            </w:pPr>
            <w:r/>
            <w:r>
              <w:rPr>
                <w:b w:val="0"/>
                <w:color w:val="25272D"/>
                <w:sz w:val="16"/>
              </w:rPr>
              <w:t>Preferred value-retention option, safeguards, owner, and monitoring</w:t>
            </w:r>
          </w:p>
        </w:tc>
        <w:tc>
          <w:tcPr>
            <w:tcW w:type="dxa" w:w="3168"/>
            <w:shd w:fill="FFFFFF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/>
            </w:pPr>
            <w:r/>
            <w:r>
              <w:rPr>
                <w:b w:val="0"/>
                <w:color w:val="25272D"/>
                <w:sz w:val="16"/>
              </w:rPr>
              <w:t>Prioritize safe and supportable value retention.</w:t>
            </w:r>
          </w:p>
        </w:tc>
        <w:tc>
          <w:tcPr>
            <w:tcW w:type="dxa" w:w="3744"/>
            <w:shd w:fill="FFFFFF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/>
            </w:pPr>
            <w:r/>
            <w:r>
              <w:rPr>
                <w:b w:val="0"/>
                <w:color w:val="25272D"/>
                <w:sz w:val="16"/>
              </w:rPr>
            </w:r>
          </w:p>
        </w:tc>
        <w:tc>
          <w:tcPr>
            <w:tcW w:type="dxa" w:w="2520"/>
            <w:shd w:fill="FFFFFF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/>
            </w:pPr>
            <w:r/>
            <w:r>
              <w:rPr>
                <w:b w:val="0"/>
                <w:color w:val="25272D"/>
                <w:sz w:val="16"/>
              </w:rPr>
            </w:r>
          </w:p>
        </w:tc>
      </w:tr>
    </w:tbl>
    <w:p>
      <w:r>
        <w:br w:type="page"/>
      </w:r>
    </w:p>
    <w:p>
      <w:pPr>
        <w:pStyle w:val="Heading1"/>
      </w:pPr>
      <w:r>
        <w:t>Synthetic worked example</w:t>
      </w:r>
    </w:p>
    <w:p>
      <w:r>
        <w:rPr>
          <w:i/>
          <w:color w:val="7B1734"/>
        </w:rPr>
        <w:t>The entries below are synthetic and are included solely to demonstrate the intended level of specificity. They are not empirical findings or a recommendation for local use.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00"/>
        <w:gridCol w:w="3096"/>
        <w:gridCol w:w="3168"/>
        <w:gridCol w:w="3744"/>
        <w:gridCol w:w="2520"/>
      </w:tblGrid>
      <w:tr>
        <w:trPr>
          <w:tblHeader w:val="true"/>
        </w:trPr>
        <w:tc>
          <w:tcPr>
            <w:tcW w:type="dxa" w:w="2938"/>
            <w:shd w:fill="7B173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/>
            </w:pPr>
            <w:r/>
            <w:r>
              <w:rPr>
                <w:b/>
                <w:color w:val="FFFFFF"/>
                <w:sz w:val="17"/>
              </w:rPr>
              <w:t>Section</w:t>
            </w:r>
          </w:p>
        </w:tc>
        <w:tc>
          <w:tcPr>
            <w:tcW w:type="dxa" w:w="2938"/>
            <w:shd w:fill="7B173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/>
            </w:pPr>
            <w:r/>
            <w:r>
              <w:rPr>
                <w:b/>
                <w:color w:val="FFFFFF"/>
                <w:sz w:val="17"/>
              </w:rPr>
              <w:t>Field or question</w:t>
            </w:r>
          </w:p>
        </w:tc>
        <w:tc>
          <w:tcPr>
            <w:tcW w:type="dxa" w:w="2938"/>
            <w:shd w:fill="7B173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/>
            </w:pPr>
            <w:r/>
            <w:r>
              <w:rPr>
                <w:b/>
                <w:color w:val="FFFFFF"/>
                <w:sz w:val="17"/>
              </w:rPr>
              <w:t>Guidance</w:t>
            </w:r>
          </w:p>
        </w:tc>
        <w:tc>
          <w:tcPr>
            <w:tcW w:type="dxa" w:w="2938"/>
            <w:shd w:fill="7B173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/>
            </w:pPr>
            <w:r/>
            <w:r>
              <w:rPr>
                <w:b/>
                <w:color w:val="FFFFFF"/>
                <w:sz w:val="17"/>
              </w:rPr>
              <w:t>Response or evidence</w:t>
            </w:r>
          </w:p>
        </w:tc>
        <w:tc>
          <w:tcPr>
            <w:tcW w:type="dxa" w:w="2938"/>
            <w:shd w:fill="7B173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/>
            </w:pPr>
            <w:r/>
            <w:r>
              <w:rPr>
                <w:b/>
                <w:color w:val="FFFFFF"/>
                <w:sz w:val="17"/>
              </w:rPr>
              <w:t>Ownership, timing, and version</w:t>
            </w:r>
          </w:p>
        </w:tc>
      </w:tr>
      <w:tr>
        <w:tc>
          <w:tcPr>
            <w:tcW w:type="dxa" w:w="1800"/>
            <w:shd w:fill="FFFFFF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/>
            </w:pPr>
            <w:r/>
            <w:r>
              <w:rPr>
                <w:b w:val="0"/>
                <w:color w:val="25272D"/>
                <w:sz w:val="16"/>
              </w:rPr>
              <w:t>Resource system</w:t>
            </w:r>
          </w:p>
        </w:tc>
        <w:tc>
          <w:tcPr>
            <w:tcW w:type="dxa" w:w="3096"/>
            <w:shd w:fill="FFFFFF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/>
            </w:pPr>
            <w:r/>
            <w:r>
              <w:rPr>
                <w:b w:val="0"/>
                <w:color w:val="25272D"/>
                <w:sz w:val="16"/>
              </w:rPr>
              <w:t>Service function, functional unit, and system boundary</w:t>
            </w:r>
          </w:p>
        </w:tc>
        <w:tc>
          <w:tcPr>
            <w:tcW w:type="dxa" w:w="3168"/>
            <w:shd w:fill="FFFFFF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/>
            </w:pPr>
            <w:r/>
            <w:r>
              <w:rPr>
                <w:b w:val="0"/>
                <w:color w:val="25272D"/>
                <w:sz w:val="16"/>
              </w:rPr>
              <w:t>Anchor resource accounting to useful output.</w:t>
            </w:r>
          </w:p>
        </w:tc>
        <w:tc>
          <w:tcPr>
            <w:tcW w:type="dxa" w:w="3744"/>
            <w:shd w:fill="FFFFFF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/>
            </w:pPr>
            <w:r/>
            <w:r>
              <w:rPr>
                <w:b w:val="0"/>
                <w:color w:val="25272D"/>
                <w:sz w:val="16"/>
              </w:rPr>
              <w:t>Illustrative synthetic response; replace with local evidence.</w:t>
            </w:r>
          </w:p>
        </w:tc>
        <w:tc>
          <w:tcPr>
            <w:tcW w:type="dxa" w:w="2520"/>
            <w:shd w:fill="FFFFFF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/>
            </w:pPr>
            <w:r/>
            <w:r>
              <w:rPr>
                <w:b w:val="0"/>
                <w:color w:val="25272D"/>
                <w:sz w:val="16"/>
              </w:rPr>
              <w:t>Owner: Named institutional owner</w:t>
              <w:br/>
              <w:t>Evidence cut-off: 2026-09-02</w:t>
              <w:br/>
              <w:t>Intervention version: 1.0</w:t>
            </w:r>
          </w:p>
        </w:tc>
      </w:tr>
      <w:tr>
        <w:tc>
          <w:tcPr>
            <w:tcW w:type="dxa" w:w="1800"/>
            <w:shd w:fill="F7F1E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/>
            </w:pPr>
            <w:r/>
            <w:r>
              <w:rPr>
                <w:b w:val="0"/>
                <w:color w:val="25272D"/>
                <w:sz w:val="16"/>
              </w:rPr>
              <w:t>Stocks and flows</w:t>
            </w:r>
          </w:p>
        </w:tc>
        <w:tc>
          <w:tcPr>
            <w:tcW w:type="dxa" w:w="3096"/>
            <w:shd w:fill="F7F1E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/>
            </w:pPr>
            <w:r/>
            <w:r>
              <w:rPr>
                <w:b w:val="0"/>
                <w:color w:val="25272D"/>
                <w:sz w:val="16"/>
              </w:rPr>
              <w:t>Asset or material stock, inflow, use, outflow, and destination</w:t>
            </w:r>
          </w:p>
        </w:tc>
        <w:tc>
          <w:tcPr>
            <w:tcW w:type="dxa" w:w="3168"/>
            <w:shd w:fill="F7F1E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/>
            </w:pPr>
            <w:r/>
            <w:r>
              <w:rPr>
                <w:b w:val="0"/>
                <w:color w:val="25272D"/>
                <w:sz w:val="16"/>
              </w:rPr>
              <w:t>Use physical quantities where possible.</w:t>
            </w:r>
          </w:p>
        </w:tc>
        <w:tc>
          <w:tcPr>
            <w:tcW w:type="dxa" w:w="3744"/>
            <w:shd w:fill="F7F1E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/>
            </w:pPr>
            <w:r/>
            <w:r>
              <w:rPr>
                <w:b w:val="0"/>
                <w:color w:val="25272D"/>
                <w:sz w:val="16"/>
              </w:rPr>
              <w:t>Illustrative synthetic response; replace with local evidence.</w:t>
            </w:r>
          </w:p>
        </w:tc>
        <w:tc>
          <w:tcPr>
            <w:tcW w:type="dxa" w:w="2520"/>
            <w:shd w:fill="F7F1E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/>
            </w:pPr>
            <w:r/>
            <w:r>
              <w:rPr>
                <w:b w:val="0"/>
                <w:color w:val="25272D"/>
                <w:sz w:val="16"/>
              </w:rPr>
              <w:t>Owner: Named institutional owner</w:t>
              <w:br/>
              <w:t>Evidence cut-off: 2026-09-02</w:t>
              <w:br/>
              <w:t>Intervention version: 1.0</w:t>
            </w:r>
          </w:p>
        </w:tc>
      </w:tr>
      <w:tr>
        <w:tc>
          <w:tcPr>
            <w:tcW w:type="dxa" w:w="1800"/>
            <w:shd w:fill="FFFFFF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/>
            </w:pPr>
            <w:r/>
            <w:r>
              <w:rPr>
                <w:b w:val="0"/>
                <w:color w:val="25272D"/>
                <w:sz w:val="16"/>
              </w:rPr>
              <w:t>Value-retention pathway</w:t>
            </w:r>
          </w:p>
        </w:tc>
        <w:tc>
          <w:tcPr>
            <w:tcW w:type="dxa" w:w="3096"/>
            <w:shd w:fill="FFFFFF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/>
            </w:pPr>
            <w:r/>
            <w:r>
              <w:rPr>
                <w:b w:val="0"/>
                <w:color w:val="25272D"/>
                <w:sz w:val="16"/>
              </w:rPr>
              <w:t>Avoid, share/intensify, maintain, repair, reuse, refurbish, remanufacture, repurpose, recycle, recover, dispose</w:t>
            </w:r>
          </w:p>
        </w:tc>
        <w:tc>
          <w:tcPr>
            <w:tcW w:type="dxa" w:w="3168"/>
            <w:shd w:fill="FFFFFF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/>
            </w:pPr>
            <w:r/>
            <w:r>
              <w:rPr>
                <w:b w:val="0"/>
                <w:color w:val="25272D"/>
                <w:sz w:val="16"/>
              </w:rPr>
              <w:t>Classify inner and outer loops.</w:t>
            </w:r>
          </w:p>
        </w:tc>
        <w:tc>
          <w:tcPr>
            <w:tcW w:type="dxa" w:w="3744"/>
            <w:shd w:fill="FFFFFF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/>
            </w:pPr>
            <w:r/>
            <w:r>
              <w:rPr>
                <w:b w:val="0"/>
                <w:color w:val="25272D"/>
                <w:sz w:val="16"/>
              </w:rPr>
              <w:t>Illustrative synthetic response; replace with local evidence.</w:t>
            </w:r>
          </w:p>
        </w:tc>
        <w:tc>
          <w:tcPr>
            <w:tcW w:type="dxa" w:w="2520"/>
            <w:shd w:fill="FFFFFF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/>
            </w:pPr>
            <w:r/>
            <w:r>
              <w:rPr>
                <w:b w:val="0"/>
                <w:color w:val="25272D"/>
                <w:sz w:val="16"/>
              </w:rPr>
              <w:t>Owner: Named institutional owner</w:t>
              <w:br/>
              <w:t>Evidence cut-off: 2026-09-02</w:t>
              <w:br/>
              <w:t>Intervention version: 1.0</w:t>
            </w:r>
          </w:p>
        </w:tc>
      </w:tr>
      <w:tr>
        <w:tc>
          <w:tcPr>
            <w:tcW w:type="dxa" w:w="1800"/>
            <w:shd w:fill="F7F1E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/>
            </w:pPr>
            <w:r/>
            <w:r>
              <w:rPr>
                <w:b w:val="0"/>
                <w:color w:val="25272D"/>
                <w:sz w:val="16"/>
              </w:rPr>
              <w:t>Circular leakage</w:t>
            </w:r>
          </w:p>
        </w:tc>
        <w:tc>
          <w:tcPr>
            <w:tcW w:type="dxa" w:w="3096"/>
            <w:shd w:fill="F7F1E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/>
            </w:pPr>
            <w:r/>
            <w:r>
              <w:rPr>
                <w:b w:val="0"/>
                <w:color w:val="25272D"/>
                <w:sz w:val="16"/>
              </w:rPr>
              <w:t>Value or material lost between intended and realized pathway</w:t>
            </w:r>
          </w:p>
        </w:tc>
        <w:tc>
          <w:tcPr>
            <w:tcW w:type="dxa" w:w="3168"/>
            <w:shd w:fill="F7F1E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/>
            </w:pPr>
            <w:r/>
            <w:r>
              <w:rPr>
                <w:b w:val="0"/>
                <w:color w:val="25272D"/>
                <w:sz w:val="16"/>
              </w:rPr>
              <w:t>Identify causes and controls.</w:t>
            </w:r>
          </w:p>
        </w:tc>
        <w:tc>
          <w:tcPr>
            <w:tcW w:type="dxa" w:w="3744"/>
            <w:shd w:fill="F7F1E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/>
            </w:pPr>
            <w:r/>
            <w:r>
              <w:rPr>
                <w:b w:val="0"/>
                <w:color w:val="25272D"/>
                <w:sz w:val="16"/>
              </w:rPr>
              <w:t>Illustrative synthetic response; replace with local evidence.</w:t>
            </w:r>
          </w:p>
        </w:tc>
        <w:tc>
          <w:tcPr>
            <w:tcW w:type="dxa" w:w="2520"/>
            <w:shd w:fill="F7F1E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/>
            </w:pPr>
            <w:r/>
            <w:r>
              <w:rPr>
                <w:b w:val="0"/>
                <w:color w:val="25272D"/>
                <w:sz w:val="16"/>
              </w:rPr>
              <w:t>Owner: Named institutional owner</w:t>
              <w:br/>
              <w:t>Evidence cut-off: 2026-09-02</w:t>
              <w:br/>
              <w:t>Intervention version: 1.0</w:t>
            </w:r>
          </w:p>
        </w:tc>
      </w:tr>
      <w:tr>
        <w:tc>
          <w:tcPr>
            <w:tcW w:type="dxa" w:w="1800"/>
            <w:shd w:fill="FFFFFF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/>
            </w:pPr>
            <w:r/>
            <w:r>
              <w:rPr>
                <w:b w:val="0"/>
                <w:color w:val="25272D"/>
                <w:sz w:val="16"/>
              </w:rPr>
              <w:t>Resource intensity</w:t>
            </w:r>
          </w:p>
        </w:tc>
        <w:tc>
          <w:tcPr>
            <w:tcW w:type="dxa" w:w="3096"/>
            <w:shd w:fill="FFFFFF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/>
            </w:pPr>
            <w:r/>
            <w:r>
              <w:rPr>
                <w:b w:val="0"/>
                <w:color w:val="25272D"/>
                <w:sz w:val="16"/>
              </w:rPr>
              <w:t>Energy, water, material, hardware, transport, or service resource per functional unit</w:t>
            </w:r>
          </w:p>
        </w:tc>
        <w:tc>
          <w:tcPr>
            <w:tcW w:type="dxa" w:w="3168"/>
            <w:shd w:fill="FFFFFF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/>
            </w:pPr>
            <w:r/>
            <w:r>
              <w:rPr>
                <w:b w:val="0"/>
                <w:color w:val="25272D"/>
                <w:sz w:val="16"/>
              </w:rPr>
              <w:t>Distinguish average and marginal values.</w:t>
            </w:r>
          </w:p>
        </w:tc>
        <w:tc>
          <w:tcPr>
            <w:tcW w:type="dxa" w:w="3744"/>
            <w:shd w:fill="FFFFFF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/>
            </w:pPr>
            <w:r/>
            <w:r>
              <w:rPr>
                <w:b w:val="0"/>
                <w:color w:val="25272D"/>
                <w:sz w:val="16"/>
              </w:rPr>
              <w:t>Illustrative synthetic response; replace with local evidence.</w:t>
            </w:r>
          </w:p>
        </w:tc>
        <w:tc>
          <w:tcPr>
            <w:tcW w:type="dxa" w:w="2520"/>
            <w:shd w:fill="FFFFFF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/>
            </w:pPr>
            <w:r/>
            <w:r>
              <w:rPr>
                <w:b w:val="0"/>
                <w:color w:val="25272D"/>
                <w:sz w:val="16"/>
              </w:rPr>
              <w:t>Owner: Named institutional owner</w:t>
              <w:br/>
              <w:t>Evidence cut-off: 2026-09-02</w:t>
              <w:br/>
              <w:t>Intervention version: 1.0</w:t>
            </w:r>
          </w:p>
        </w:tc>
      </w:tr>
      <w:tr>
        <w:tc>
          <w:tcPr>
            <w:tcW w:type="dxa" w:w="1800"/>
            <w:shd w:fill="F7F1E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/>
            </w:pPr>
            <w:r/>
            <w:r>
              <w:rPr>
                <w:b w:val="0"/>
                <w:color w:val="25272D"/>
                <w:sz w:val="16"/>
              </w:rPr>
              <w:t>AI bidirectional effect</w:t>
            </w:r>
          </w:p>
        </w:tc>
        <w:tc>
          <w:tcPr>
            <w:tcW w:type="dxa" w:w="3096"/>
            <w:shd w:fill="F7F1E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/>
            </w:pPr>
            <w:r/>
            <w:r>
              <w:rPr>
                <w:b w:val="0"/>
                <w:color w:val="25272D"/>
                <w:sz w:val="16"/>
              </w:rPr>
              <w:t>AI-enabled reduction and AI-created resource demand</w:t>
            </w:r>
          </w:p>
        </w:tc>
        <w:tc>
          <w:tcPr>
            <w:tcW w:type="dxa" w:w="3168"/>
            <w:shd w:fill="F7F1E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/>
            </w:pPr>
            <w:r/>
            <w:r>
              <w:rPr>
                <w:b w:val="0"/>
                <w:color w:val="25272D"/>
                <w:sz w:val="16"/>
              </w:rPr>
              <w:t>Report both directions.</w:t>
            </w:r>
          </w:p>
        </w:tc>
        <w:tc>
          <w:tcPr>
            <w:tcW w:type="dxa" w:w="3744"/>
            <w:shd w:fill="F7F1E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/>
            </w:pPr>
            <w:r/>
            <w:r>
              <w:rPr>
                <w:b w:val="0"/>
                <w:color w:val="25272D"/>
                <w:sz w:val="16"/>
              </w:rPr>
              <w:t>Illustrative synthetic response; replace with local evidence.</w:t>
            </w:r>
          </w:p>
        </w:tc>
        <w:tc>
          <w:tcPr>
            <w:tcW w:type="dxa" w:w="2520"/>
            <w:shd w:fill="F7F1E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/>
            </w:pPr>
            <w:r/>
            <w:r>
              <w:rPr>
                <w:b w:val="0"/>
                <w:color w:val="25272D"/>
                <w:sz w:val="16"/>
              </w:rPr>
              <w:t>Owner: Named institutional owner</w:t>
              <w:br/>
              <w:t>Evidence cut-off: 2026-09-02</w:t>
              <w:br/>
              <w:t>Intervention version: 1.0</w:t>
            </w:r>
          </w:p>
        </w:tc>
      </w:tr>
      <w:tr>
        <w:tc>
          <w:tcPr>
            <w:tcW w:type="dxa" w:w="1800"/>
            <w:shd w:fill="FFFFFF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/>
            </w:pPr>
            <w:r/>
            <w:r>
              <w:rPr>
                <w:b w:val="0"/>
                <w:color w:val="25272D"/>
                <w:sz w:val="16"/>
              </w:rPr>
              <w:t>Rebound</w:t>
            </w:r>
          </w:p>
        </w:tc>
        <w:tc>
          <w:tcPr>
            <w:tcW w:type="dxa" w:w="3096"/>
            <w:shd w:fill="FFFFFF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/>
            </w:pPr>
            <w:r/>
            <w:r>
              <w:rPr>
                <w:b w:val="0"/>
                <w:color w:val="25272D"/>
                <w:sz w:val="16"/>
              </w:rPr>
              <w:t>Volume growth, induced demand, or behavioural response</w:t>
            </w:r>
          </w:p>
        </w:tc>
        <w:tc>
          <w:tcPr>
            <w:tcW w:type="dxa" w:w="3168"/>
            <w:shd w:fill="FFFFFF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/>
            </w:pPr>
            <w:r/>
            <w:r>
              <w:rPr>
                <w:b w:val="0"/>
                <w:color w:val="25272D"/>
                <w:sz w:val="16"/>
              </w:rPr>
              <w:t>Test total as well as per-unit effects.</w:t>
            </w:r>
          </w:p>
        </w:tc>
        <w:tc>
          <w:tcPr>
            <w:tcW w:type="dxa" w:w="3744"/>
            <w:shd w:fill="FFFFFF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/>
            </w:pPr>
            <w:r/>
            <w:r>
              <w:rPr>
                <w:b w:val="0"/>
                <w:color w:val="25272D"/>
                <w:sz w:val="16"/>
              </w:rPr>
              <w:t>Illustrative synthetic response; replace with local evidence.</w:t>
            </w:r>
          </w:p>
        </w:tc>
        <w:tc>
          <w:tcPr>
            <w:tcW w:type="dxa" w:w="2520"/>
            <w:shd w:fill="FFFFFF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/>
            </w:pPr>
            <w:r/>
            <w:r>
              <w:rPr>
                <w:b w:val="0"/>
                <w:color w:val="25272D"/>
                <w:sz w:val="16"/>
              </w:rPr>
              <w:t>Owner: Named institutional owner</w:t>
              <w:br/>
              <w:t>Evidence cut-off: 2026-09-02</w:t>
              <w:br/>
              <w:t>Intervention version: 1.0</w:t>
            </w:r>
          </w:p>
        </w:tc>
      </w:tr>
      <w:tr>
        <w:tc>
          <w:tcPr>
            <w:tcW w:type="dxa" w:w="1800"/>
            <w:shd w:fill="F7F1E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/>
            </w:pPr>
            <w:r/>
            <w:r>
              <w:rPr>
                <w:b w:val="0"/>
                <w:color w:val="25272D"/>
                <w:sz w:val="16"/>
              </w:rPr>
              <w:t>Distribution</w:t>
            </w:r>
          </w:p>
        </w:tc>
        <w:tc>
          <w:tcPr>
            <w:tcW w:type="dxa" w:w="3096"/>
            <w:shd w:fill="F7F1E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/>
            </w:pPr>
            <w:r/>
            <w:r>
              <w:rPr>
                <w:b w:val="0"/>
                <w:color w:val="25272D"/>
                <w:sz w:val="16"/>
              </w:rPr>
              <w:t>Spatial burden, supply-chain burden, labour, and affected communities</w:t>
            </w:r>
          </w:p>
        </w:tc>
        <w:tc>
          <w:tcPr>
            <w:tcW w:type="dxa" w:w="3168"/>
            <w:shd w:fill="F7F1E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/>
            </w:pPr>
            <w:r/>
            <w:r>
              <w:rPr>
                <w:b w:val="0"/>
                <w:color w:val="25272D"/>
                <w:sz w:val="16"/>
              </w:rPr>
              <w:t>Avoid hidden burden shifting.</w:t>
            </w:r>
          </w:p>
        </w:tc>
        <w:tc>
          <w:tcPr>
            <w:tcW w:type="dxa" w:w="3744"/>
            <w:shd w:fill="F7F1E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/>
            </w:pPr>
            <w:r/>
            <w:r>
              <w:rPr>
                <w:b w:val="0"/>
                <w:color w:val="25272D"/>
                <w:sz w:val="16"/>
              </w:rPr>
              <w:t>Illustrative synthetic response; replace with local evidence.</w:t>
            </w:r>
          </w:p>
        </w:tc>
        <w:tc>
          <w:tcPr>
            <w:tcW w:type="dxa" w:w="2520"/>
            <w:shd w:fill="F7F1E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/>
            </w:pPr>
            <w:r/>
            <w:r>
              <w:rPr>
                <w:b w:val="0"/>
                <w:color w:val="25272D"/>
                <w:sz w:val="16"/>
              </w:rPr>
              <w:t>Owner: Named institutional owner</w:t>
              <w:br/>
              <w:t>Evidence cut-off: 2026-09-02</w:t>
              <w:br/>
              <w:t>Intervention version: 1.0</w:t>
            </w:r>
          </w:p>
        </w:tc>
      </w:tr>
      <w:tr>
        <w:tc>
          <w:tcPr>
            <w:tcW w:type="dxa" w:w="1800"/>
            <w:shd w:fill="FFFFFF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/>
            </w:pPr>
            <w:r/>
            <w:r>
              <w:rPr>
                <w:b w:val="0"/>
                <w:color w:val="25272D"/>
                <w:sz w:val="16"/>
              </w:rPr>
              <w:t>Decision</w:t>
            </w:r>
          </w:p>
        </w:tc>
        <w:tc>
          <w:tcPr>
            <w:tcW w:type="dxa" w:w="3096"/>
            <w:shd w:fill="FFFFFF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/>
            </w:pPr>
            <w:r/>
            <w:r>
              <w:rPr>
                <w:b w:val="0"/>
                <w:color w:val="25272D"/>
                <w:sz w:val="16"/>
              </w:rPr>
              <w:t>Preferred value-retention option, safeguards, owner, and monitoring</w:t>
            </w:r>
          </w:p>
        </w:tc>
        <w:tc>
          <w:tcPr>
            <w:tcW w:type="dxa" w:w="3168"/>
            <w:shd w:fill="FFFFFF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/>
            </w:pPr>
            <w:r/>
            <w:r>
              <w:rPr>
                <w:b w:val="0"/>
                <w:color w:val="25272D"/>
                <w:sz w:val="16"/>
              </w:rPr>
              <w:t>Prioritize safe and supportable value retention.</w:t>
            </w:r>
          </w:p>
        </w:tc>
        <w:tc>
          <w:tcPr>
            <w:tcW w:type="dxa" w:w="3744"/>
            <w:shd w:fill="FFFFFF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/>
            </w:pPr>
            <w:r/>
            <w:r>
              <w:rPr>
                <w:b w:val="0"/>
                <w:color w:val="25272D"/>
                <w:sz w:val="16"/>
              </w:rPr>
              <w:t>Illustrative synthetic response; replace with local evidence.</w:t>
            </w:r>
          </w:p>
        </w:tc>
        <w:tc>
          <w:tcPr>
            <w:tcW w:type="dxa" w:w="2520"/>
            <w:shd w:fill="FFFFFF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/>
            </w:pPr>
            <w:r/>
            <w:r>
              <w:rPr>
                <w:b w:val="0"/>
                <w:color w:val="25272D"/>
                <w:sz w:val="16"/>
              </w:rPr>
              <w:t>Owner: Named institutional owner</w:t>
              <w:br/>
              <w:t>Evidence cut-off: 2026-09-02</w:t>
              <w:br/>
              <w:t>Intervention version: 1.0</w:t>
            </w:r>
          </w:p>
        </w:tc>
      </w:tr>
    </w:tbl>
    <w:p/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880"/>
        <w:gridCol w:w="11520"/>
      </w:tblGrid>
      <w:tr>
        <w:tc>
          <w:tcPr>
            <w:tcW w:type="dxa" w:w="7344"/>
            <w:shd w:fill="C7AA7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/>
            </w:pPr>
            <w:r/>
            <w:r>
              <w:rPr>
                <w:b/>
                <w:color w:val="25272D"/>
                <w:sz w:val="18"/>
              </w:rPr>
              <w:t>Current decision or disposition</w:t>
            </w:r>
          </w:p>
        </w:tc>
        <w:tc>
          <w:tcPr>
            <w:tcW w:type="dxa" w:w="7344"/>
            <w:shd w:fill="FFFFFF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/>
            </w:pPr>
            <w:r/>
            <w:r>
              <w:rPr>
                <w:b w:val="0"/>
                <w:color w:val="25272D"/>
                <w:sz w:val="18"/>
              </w:rPr>
            </w:r>
          </w:p>
        </w:tc>
      </w:tr>
      <w:tr>
        <w:tc>
          <w:tcPr>
            <w:tcW w:type="dxa" w:w="7344"/>
            <w:shd w:fill="C7AA7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/>
            </w:pPr>
            <w:r/>
            <w:r>
              <w:rPr>
                <w:b/>
                <w:color w:val="25272D"/>
                <w:sz w:val="18"/>
              </w:rPr>
              <w:t>Mandatory conditions and next review</w:t>
            </w:r>
          </w:p>
        </w:tc>
        <w:tc>
          <w:tcPr>
            <w:tcW w:type="dxa" w:w="7344"/>
            <w:shd w:fill="FFFFFF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/>
            </w:pPr>
            <w:r/>
            <w:r>
              <w:rPr>
                <w:b w:val="0"/>
                <w:color w:val="25272D"/>
                <w:sz w:val="18"/>
              </w:rPr>
            </w:r>
          </w:p>
        </w:tc>
      </w:tr>
      <w:tr>
        <w:tc>
          <w:tcPr>
            <w:tcW w:type="dxa" w:w="7344"/>
            <w:shd w:fill="C7AA7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/>
            </w:pPr>
            <w:r/>
            <w:r>
              <w:rPr>
                <w:b/>
                <w:color w:val="25272D"/>
                <w:sz w:val="18"/>
              </w:rPr>
              <w:t>Accountable authority and date</w:t>
            </w:r>
          </w:p>
        </w:tc>
        <w:tc>
          <w:tcPr>
            <w:tcW w:type="dxa" w:w="7344"/>
            <w:shd w:fill="FFFFFF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/>
            </w:pPr>
            <w:r/>
            <w:r>
              <w:rPr>
                <w:b w:val="0"/>
                <w:color w:val="25272D"/>
                <w:sz w:val="18"/>
              </w:rPr>
            </w:r>
          </w:p>
        </w:tc>
      </w:tr>
    </w:tbl>
    <w:sectPr w:rsidR="00FC693F" w:rsidRPr="0006063C" w:rsidSect="00034616">
      <w:pgSz w:w="15840" w:h="12240" w:orient="landscape"/>
      <w:pgMar w:top="648" w:right="576" w:bottom="648" w:left="576" w:header="360" w:footer="43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25272D"/>
        <w:sz w:val="16"/>
      </w:rPr>
      <w:t>AIHE-E01 · Digital Resource Companion V1.0 · Muthana Zouri and Carmen Marinela Cumpăt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 w:eastAsia="Apto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eorgia" w:hAnsi="Georgia" w:eastAsia="Georgia"/>
      <w:b/>
      <w:bCs/>
      <w:color w:val="7B1734"/>
      <w:sz w:val="3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eorgia" w:hAnsi="Georgia" w:eastAsia="Georgia"/>
      <w:b/>
      <w:bCs/>
      <w:color w:val="25272D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eorgia" w:hAnsi="Georgia" w:eastAsia="Georgia"/>
      <w:b/>
      <w:bCs/>
      <w:color w:val="5B817C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Georgia" w:hAnsi="Georgia" w:eastAsia="Georgia"/>
      <w:b/>
      <w:color w:val="7B1734"/>
      <w:spacing w:val="5"/>
      <w:kern w:val="28"/>
      <w:sz w:val="6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AIHE-E01 — Circular-Economy and Sustainable-AI Assessment</dc:title>
  <dc:subject>Digital Resource Companion V1.0</dc:subject>
  <dc:creator>Muthana Zouri; Carmen Marinela Cumpăt</dc:creator>
  <cp:keywords>health economics; healthcare artificial intelligence; institutional decision support; V1.0</cp:keywords>
  <dc:description/>
  <cp:lastModifiedBy>Muthana Zouri; Carmen Marinela Cumpăt</cp:lastModifiedBy>
  <cp:revision>1</cp:revision>
  <dcterms:created xsi:type="dcterms:W3CDTF">2013-12-23T23:15:00Z</dcterms:created>
  <dcterms:modified xsi:type="dcterms:W3CDTF">2013-12-23T23:15:00Z</dcterms:modified>
  <cp:category/>
</cp:coreProperties>
</file>