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AIHE-E03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Supported Asset-Life Decision Record</w:t>
      </w:r>
    </w:p>
    <w:p>
      <w:pPr>
        <w:pStyle w:val="Subtitle"/>
      </w:pPr>
      <w:r>
        <w:rPr>
          <w:color w:val="25272D"/>
          <w:sz w:val="26"/>
        </w:rPr>
        <w:t>Compare maintain, refurbish, replace, and shared-service options across suitability, life, cost, resources, resilience, and disposition.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AIHE-E03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14: Circular Procurement and Asset Stewardship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Option identity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Maintain, repair, upgrade, refurbish, replace, share, or retire option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the service function.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Eligibility before economics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Safety, performance, cybersecurity, regulatory, support, and continuity status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Exclude non-viable options before cost comparison.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Supported service life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Years during which all required forms of support remain available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from physical longevity.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Condition and dependency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Asset condition, critical components, software, firmware, model, interfaces, skills, parts, and supplier dependencies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Identify bottlenecks.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Obsolescence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Functional, technical, economic, cybersecurity, regulatory, and clinical suitability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material forms.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Availability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Expected downtime, service continuity, and fallback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Include consequences of interruption.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Economic comparison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Present value of costs, service life, equivalent annual cost, and uncertainty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comparable functional output.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value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Realizable residual value net of recovery cost and restrictions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nominal resale assumptions.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Thresholds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Minimum life extension, maximum failure or downtime, and price thresholds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decision boundaries.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Authorization to retire, data closure, transfer, recovery, final destination, and evidence retained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Complete the asset record.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Option identity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Maintain, repair, upgrade, refurbish, replace, share, or retire option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the service function.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Eligibility before economics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Safety, performance, cybersecurity, regulatory, support, and continuity status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Exclude non-viable options before cost comparison.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Supported service life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Years during which all required forms of support remain available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Distinguish from physical longevity.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Condition and dependency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Asset condition, critical components, software, firmware, model, interfaces, skills, parts, and supplier dependencies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Identify bottlenecks.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Obsolescence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Functional, technical, economic, cybersecurity, regulatory, and clinical suitability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Record material forms.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Availability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Expected downtime, service continuity, and fallback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Include consequences of interruption.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Economic comparison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Present value of costs, service life, equivalent annual cost, and uncertainty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comparable functional output.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Residual value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Realizable residual value net of recovery cost and restrictions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nominal resale assumptions.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Thresholds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Minimum life extension, maximum failure or downtime, and price thresholds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Define decision boundaries.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Closure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Authorization to retire, data closure, transfer, recovery, final destination, and evidence retained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Complete the asset record.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AIHE-E03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AIHE-E03 — Supported Asset-Life Decision Record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