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AIHE-CE7 — Annual Circularity Review</w:t>
      </w:r>
    </w:p>
    <w:p>
      <w:r>
        <w:rPr>
          <w:b/>
        </w:rPr>
        <w:t xml:space="preserve">Current digital location: </w:t>
      </w:r>
      <w:r>
        <w:t>Resource Set E — Circular Economy and Sustainable Value</w:t>
      </w:r>
    </w:p>
    <w:p>
      <w:r>
        <w:rPr>
          <w:b/>
        </w:rPr>
        <w:t xml:space="preserve">Related book chapters: </w:t>
      </w:r>
      <w:r>
        <w:t>Chapter 12: Decision Architecture and Lifecycle Governance; Chapter 12: Decision Architecture and Lifecycle Governance; Chapter 13: Circular Health Systems and Resource Stewardship; Chapter 14: Circular Procurement and Asset Stewardship; Chapter 15: Circularity-Adjusted Economic Evaluation and Sustainable Value</w:t>
      </w:r>
    </w:p>
    <w:p>
      <w:r>
        <w:t>Version: 6.0.0 | aligned to the fifteen-chapter reference edition and Resource Sets A–E</w:t>
      </w:r>
    </w:p>
    <w:p>
      <w:r>
        <w:rPr>
          <w:b/>
        </w:rPr>
        <w:t xml:space="preserve">Purpose. </w:t>
      </w:r>
      <w:r>
        <w:t>Conduct a portfolio-level annual review of resource flows, asset-life extension, environmental trends, supplier performance, recovery, rebound, incidents, capability gaps, and next-year decisions.</w:t>
      </w:r>
    </w:p>
    <w:p>
      <w:r>
        <w:rPr>
          <w:b/>
        </w:rPr>
        <w:t xml:space="preserve">Use note. </w:t>
      </w:r>
      <w:r>
        <w:t>Use this as a versioned institutional record. Adapt it to local law, policy, clinical practice, health-technology-assessment, information security, procurement, environmental, and governance requirements. Do not enter identifiable patient data, confidential contracts, credentials, or private keys into public copies.</w:t>
      </w:r>
    </w:p>
    <w:p>
      <w:pPr>
        <w:pStyle w:val="Heading1"/>
      </w:pPr>
      <w:r>
        <w:t>Annual portfolio review</w:t>
      </w:r>
    </w:p>
    <w:p>
      <w:r>
        <w:t>Use this summary to connect asset stewardship with capital planning, AI governance, procurement, HTA, sustainability reporting, and lifecycle renewal. Report both absolute resource use and intensity per useful output. Record evidence limitations and avoid presenting estimated savings or environmental effects as verified results without an auditable basis.</w:t>
      </w:r>
    </w:p>
    <w:tbl>
      <w:tblPr>
        <w:tblStyle w:val="TableGrid"/>
        <w:tblW w:type="auto" w:w="0"/>
        <w:tblLayout w:type="autofit"/>
        <w:tblLook w:firstColumn="1" w:firstRow="1" w:lastColumn="0" w:lastRow="0" w:noHBand="0" w:noVBand="1" w:val="04A0"/>
      </w:tblPr>
      <w:tblGrid>
        <w:gridCol w:w="5100"/>
        <w:gridCol w:w="5100"/>
      </w:tblGrid>
      <w:tr>
        <w:trPr>
          <w:tblHeader w:val="true"/>
        </w:trPr>
        <w:tc>
          <w:tcPr>
            <w:tcW w:type="dxa" w:w="5100"/>
            <w:vAlign w:val="centre"/>
            <w:shd w:fill="1F4E78"/>
          </w:tcPr>
          <w:p>
            <w:pPr>
              <w:jc w:val="left"/>
            </w:pPr>
            <w:r/>
            <w:r>
              <w:rPr>
                <w:b/>
                <w:color w:val="FFFFFF"/>
                <w:sz w:val="16"/>
              </w:rPr>
              <w:t>Field</w:t>
            </w:r>
          </w:p>
        </w:tc>
        <w:tc>
          <w:tcPr>
            <w:tcW w:type="dxa" w:w="5100"/>
            <w:vAlign w:val="centre"/>
            <w:shd w:fill="1F4E78"/>
          </w:tcPr>
          <w:p>
            <w:pPr>
              <w:jc w:val="left"/>
            </w:pPr>
            <w:r/>
            <w:r>
              <w:rPr>
                <w:b/>
                <w:color w:val="FFFFFF"/>
                <w:sz w:val="16"/>
              </w:rPr>
              <w:t>Portfolio conclusion, evidence, and action</w:t>
            </w:r>
          </w:p>
        </w:tc>
      </w:tr>
      <w:tr>
        <w:tc>
          <w:tcPr>
            <w:tcW w:type="dxa" w:w="5100"/>
            <w:vAlign w:val="centre"/>
          </w:tcPr>
          <w:p>
            <w:pPr>
              <w:jc w:val="left"/>
            </w:pPr>
            <w:r/>
            <w:r>
              <w:rPr>
                <w:b w:val="0"/>
                <w:sz w:val="16"/>
              </w:rPr>
              <w:t>Priority resource, equipment, computing, and waste flows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Prevented, reduced, shared, repaired, refurbished, remanufactured, and recovered value</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Absolute and per-output energy, water, material, and carbon trends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Maintenance, downtime, useful life, support, and cybersecurity obsolescence</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Circular procurement coverage and supplier performance</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Take-back, residual value, recovery, and verified disposition</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Rebound, downstream demand, and balancing effects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Safety, infection, privacy, cybersecurity, equity, and continuity incidents</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Capability gaps, data limitations, and assurance priorities</w:t>
            </w:r>
          </w:p>
        </w:tc>
        <w:tc>
          <w:tcPr>
            <w:tcW w:type="dxa" w:w="5100"/>
            <w:vAlign w:val="centre"/>
          </w:tcPr>
          <w:p>
            <w:pPr>
              <w:jc w:val="left"/>
            </w:pPr>
            <w:r/>
            <w:r>
              <w:rPr>
                <w:b w:val="0"/>
                <w:sz w:val="16"/>
              </w:rPr>
            </w:r>
          </w:p>
        </w:tc>
      </w:tr>
      <w:tr>
        <w:tc>
          <w:tcPr>
            <w:tcW w:type="dxa" w:w="5100"/>
            <w:vAlign w:val="centre"/>
            <w:shd w:fill="EAF2F8"/>
          </w:tcPr>
          <w:p>
            <w:pPr>
              <w:jc w:val="left"/>
            </w:pPr>
            <w:r/>
            <w:r>
              <w:rPr>
                <w:b w:val="0"/>
                <w:sz w:val="16"/>
              </w:rPr>
              <w:t>Capital, procurement, contract, and decommissioning decisions for next year</w:t>
            </w:r>
          </w:p>
        </w:tc>
        <w:tc>
          <w:tcPr>
            <w:tcW w:type="dxa" w:w="5100"/>
            <w:vAlign w:val="centre"/>
            <w:shd w:fill="EAF2F8"/>
          </w:tcPr>
          <w:p>
            <w:pPr>
              <w:jc w:val="left"/>
            </w:pPr>
            <w:r/>
            <w:r>
              <w:rPr>
                <w:b w:val="0"/>
                <w:sz w:val="16"/>
              </w:rPr>
            </w:r>
          </w:p>
        </w:tc>
      </w:tr>
      <w:tr>
        <w:tc>
          <w:tcPr>
            <w:tcW w:type="dxa" w:w="5100"/>
            <w:vAlign w:val="centre"/>
          </w:tcPr>
          <w:p>
            <w:pPr>
              <w:jc w:val="left"/>
            </w:pPr>
            <w:r/>
            <w:r>
              <w:rPr>
                <w:b w:val="0"/>
                <w:sz w:val="16"/>
              </w:rPr>
              <w:t>Responsible sponsor and next review date</w:t>
            </w:r>
          </w:p>
        </w:tc>
        <w:tc>
          <w:tcPr>
            <w:tcW w:type="dxa" w:w="5100"/>
            <w:vAlign w:val="centre"/>
          </w:tcPr>
          <w:p>
            <w:pPr>
              <w:jc w:val="left"/>
            </w:pPr>
            <w:r/>
            <w:r>
              <w:rPr>
                <w:b w:val="0"/>
                <w:sz w:val="16"/>
              </w:rPr>
            </w:r>
          </w:p>
        </w:tc>
      </w:tr>
    </w:tbl>
    <w:p/>
    <w:p>
      <w:pPr>
        <w:pStyle w:val="Heading1"/>
      </w:pPr>
      <w:r>
        <w:t>Priority decisions for the next cycle</w:t>
      </w:r>
    </w:p>
    <w:tbl>
      <w:tblPr>
        <w:tblStyle w:val="TableGrid"/>
        <w:tblW w:type="auto" w:w="0"/>
        <w:tblLayout w:type="autofit"/>
        <w:tblLook w:firstColumn="1" w:firstRow="1" w:lastColumn="0" w:lastRow="0" w:noHBand="0" w:noVBand="1" w:val="04A0"/>
      </w:tblPr>
      <w:tblGrid>
        <w:gridCol w:w="1700"/>
        <w:gridCol w:w="1700"/>
        <w:gridCol w:w="1700"/>
        <w:gridCol w:w="1700"/>
        <w:gridCol w:w="1700"/>
        <w:gridCol w:w="1700"/>
      </w:tblGrid>
      <w:tr>
        <w:trPr>
          <w:tblHeader w:val="true"/>
        </w:trPr>
        <w:tc>
          <w:tcPr>
            <w:tcW w:type="dxa" w:w="1700"/>
            <w:vAlign w:val="centre"/>
            <w:shd w:fill="1F4E78"/>
          </w:tcPr>
          <w:p>
            <w:pPr>
              <w:jc w:val="left"/>
            </w:pPr>
            <w:r/>
            <w:r>
              <w:rPr>
                <w:b/>
                <w:color w:val="FFFFFF"/>
                <w:sz w:val="16"/>
              </w:rPr>
              <w:t>Priority</w:t>
            </w:r>
          </w:p>
        </w:tc>
        <w:tc>
          <w:tcPr>
            <w:tcW w:type="dxa" w:w="1700"/>
            <w:vAlign w:val="centre"/>
            <w:shd w:fill="1F4E78"/>
          </w:tcPr>
          <w:p>
            <w:pPr>
              <w:jc w:val="left"/>
            </w:pPr>
            <w:r/>
            <w:r>
              <w:rPr>
                <w:b/>
                <w:color w:val="FFFFFF"/>
                <w:sz w:val="16"/>
              </w:rPr>
              <w:t>Decision or action</w:t>
            </w:r>
          </w:p>
        </w:tc>
        <w:tc>
          <w:tcPr>
            <w:tcW w:type="dxa" w:w="1700"/>
            <w:vAlign w:val="centre"/>
            <w:shd w:fill="1F4E78"/>
          </w:tcPr>
          <w:p>
            <w:pPr>
              <w:jc w:val="left"/>
            </w:pPr>
            <w:r/>
            <w:r>
              <w:rPr>
                <w:b/>
                <w:color w:val="FFFFFF"/>
                <w:sz w:val="16"/>
              </w:rPr>
              <w:t>Evidence / threshold</w:t>
            </w:r>
          </w:p>
        </w:tc>
        <w:tc>
          <w:tcPr>
            <w:tcW w:type="dxa" w:w="1700"/>
            <w:vAlign w:val="centre"/>
            <w:shd w:fill="1F4E78"/>
          </w:tcPr>
          <w:p>
            <w:pPr>
              <w:jc w:val="left"/>
            </w:pPr>
            <w:r/>
            <w:r>
              <w:rPr>
                <w:b/>
                <w:color w:val="FFFFFF"/>
                <w:sz w:val="16"/>
              </w:rPr>
              <w:t>Owner</w:t>
            </w:r>
          </w:p>
        </w:tc>
        <w:tc>
          <w:tcPr>
            <w:tcW w:type="dxa" w:w="1700"/>
            <w:vAlign w:val="centre"/>
            <w:shd w:fill="1F4E78"/>
          </w:tcPr>
          <w:p>
            <w:pPr>
              <w:jc w:val="left"/>
            </w:pPr>
            <w:r/>
            <w:r>
              <w:rPr>
                <w:b/>
                <w:color w:val="FFFFFF"/>
                <w:sz w:val="16"/>
              </w:rPr>
              <w:t>Due date</w:t>
            </w:r>
          </w:p>
        </w:tc>
        <w:tc>
          <w:tcPr>
            <w:tcW w:type="dxa" w:w="1700"/>
            <w:vAlign w:val="centre"/>
            <w:shd w:fill="1F4E78"/>
          </w:tcPr>
          <w:p>
            <w:pPr>
              <w:jc w:val="left"/>
            </w:pPr>
            <w:r/>
            <w:r>
              <w:rPr>
                <w:b/>
                <w:color w:val="FFFFFF"/>
                <w:sz w:val="16"/>
              </w:rPr>
              <w:t>Review trigger</w:t>
            </w:r>
          </w:p>
        </w:tc>
      </w:tr>
      <w:tr>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r>
      <w:tr>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r>
      <w:tr>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r>
      <w:tr>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r>
      <w:tr>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r>
      <w:tr>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r>
      <w:tr>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c>
          <w:tcPr>
            <w:tcW w:type="dxa" w:w="1700"/>
            <w:vAlign w:val="centre"/>
          </w:tcPr>
          <w:p>
            <w:pPr>
              <w:jc w:val="left"/>
            </w:pPr>
            <w:r/>
            <w:r>
              <w:rPr>
                <w:b w:val="0"/>
                <w:sz w:val="16"/>
              </w:rPr>
            </w:r>
          </w:p>
        </w:tc>
      </w:tr>
      <w:tr>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c>
          <w:tcPr>
            <w:tcW w:type="dxa" w:w="1700"/>
            <w:vAlign w:val="centre"/>
            <w:shd w:fill="EAF2F8"/>
          </w:tcPr>
          <w:p>
            <w:pPr>
              <w:jc w:val="left"/>
            </w:pPr>
            <w:r/>
            <w:r>
              <w:rPr>
                <w:b w:val="0"/>
                <w:sz w:val="16"/>
              </w:rPr>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1F4E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AIHE-CE7 Annual Circularity Review</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