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等保三级测评与互联网医院执业许可-材料清单交付版"/>
      <w:bookmarkEnd w:id="21"/>
      <w:r>
        <w:t xml:space="preserve">等保三级测评与互联网医院执业许可 — 材料清单（交付版）</w:t>
      </w:r>
    </w:p>
    <w:p>
      <w:pPr>
        <w:pStyle w:val="BlockText"/>
      </w:pPr>
      <w:r>
        <w:t xml:space="preserve">文档定位：在《合规清单与等保三级准备工作》技术控制映射基础上，进一步产出</w:t>
      </w:r>
      <w:r>
        <w:rPr>
          <w:b/>
        </w:rPr>
        <w:t xml:space="preserve">可直接提交第三方测评机构 / 卫生健康行政部门的证据材料清单</w:t>
      </w:r>
      <w:r>
        <w:t xml:space="preserve">。</w:t>
      </w:r>
      <w:r>
        <w:t xml:space="preserve"> </w:t>
      </w:r>
      <w:r>
        <w:t xml:space="preserve">适用阶段：P0 合规测评与执业许可申报（上线前）。</w:t>
      </w:r>
      <w:r>
        <w:t xml:space="preserve"> </w:t>
      </w:r>
      <w:r>
        <w:t xml:space="preserve">更新日期：2026-07-26</w:t>
      </w:r>
      <w:r>
        <w:t xml:space="preserve"> </w:t>
      </w:r>
      <w:r>
        <w:t xml:space="preserve">状态图例：✅ 已具备（代码/文档已落地）｜🟡 已起草待完善｜⬜ 待准备（需外部/组织流程）｜🔗 关联既有交付物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如何使用本清单"/>
      <w:bookmarkEnd w:id="22"/>
      <w:r>
        <w:t xml:space="preserve">〇、如何使用本清单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等保三级</w:t>
      </w:r>
      <w:r>
        <w:t xml:space="preserve">：测评机构受理以"定级备案 + 技术自测证据 + 管理制度汇编 + 配合材料"为骨架，按 GB/T 22239-2019 第三级逐控制类核查。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执业许可</w:t>
      </w:r>
      <w:r>
        <w:t xml:space="preserve">：依据《互联网诊疗管理办法》《互联网医院管理办法》，向省级卫生健康行政部门申请，需实体医疗机构依托、人员资质、制度与信息系统安全证明。</w:t>
      </w:r>
    </w:p>
    <w:p>
      <w:pPr>
        <w:pStyle w:val="Compact"/>
        <w:numPr>
          <w:numId w:val="1001"/>
          <w:ilvl w:val="0"/>
        </w:numPr>
      </w:pPr>
      <w:r>
        <w:t xml:space="preserve">本清单每项含：</w:t>
      </w:r>
      <w:r>
        <w:rPr>
          <w:b/>
        </w:rPr>
        <w:t xml:space="preserve">材料名称 / 模板·产出物 / 责任方 / 状态 / 备注</w:t>
      </w:r>
      <w:r>
        <w:t xml:space="preserve">，可直接转为申报台账逐项销项。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一等保三级测评材料清单"/>
      <w:bookmarkEnd w:id="23"/>
      <w:r>
        <w:t xml:space="preserve">一、等保三级测评材料清单</w:t>
      </w:r>
    </w:p>
    <w:p>
      <w:pPr>
        <w:pStyle w:val="Heading3"/>
      </w:pPr>
      <w:bookmarkStart w:id="24" w:name="受理前必备定级与备案"/>
      <w:bookmarkEnd w:id="24"/>
      <w:r>
        <w:t xml:space="preserve">1.1 受理前必备（定级与备案）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材料名称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 / 产出物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p>
            <w:pPr>
              <w:pStyle w:val="Compact"/>
              <w:jc w:val="left"/>
            </w:pPr>
            <w:r>
              <w:t xml:space="preserve">网络安全等级保护定级报告</w:t>
            </w:r>
          </w:p>
        </w:tc>
        <w:tc>
          <w:p>
            <w:pPr>
              <w:pStyle w:val="Compact"/>
              <w:jc w:val="left"/>
            </w:pPr>
            <w:r>
              <w:t xml:space="preserve">定级报告（含系统描述、定级理由、专家评审）</w:t>
            </w:r>
          </w:p>
        </w:tc>
        <w:tc>
          <w:p>
            <w:pPr>
              <w:pStyle w:val="Compact"/>
              <w:jc w:val="left"/>
            </w:pPr>
            <w:r>
              <w:t xml:space="preserve">架构/合规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互联网医院业务系统、健康数据中台均建议定为</w:t>
            </w:r>
            <w:r>
              <w:rPr>
                <w:b/>
              </w:rPr>
              <w:t xml:space="preserve">第三级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p>
            <w:pPr>
              <w:pStyle w:val="Compact"/>
              <w:jc w:val="left"/>
            </w:pPr>
            <w:r>
              <w:t xml:space="preserve">等级保护备案表</w:t>
            </w:r>
          </w:p>
        </w:tc>
        <w:tc>
          <w:p>
            <w:pPr>
              <w:pStyle w:val="Compact"/>
              <w:jc w:val="left"/>
            </w:pPr>
            <w:r>
              <w:t xml:space="preserve">纸质表（加盖公章）+ 电子版</w:t>
            </w:r>
          </w:p>
        </w:tc>
        <w:tc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向属地公安机关网安部门提交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p>
            <w:pPr>
              <w:pStyle w:val="Compact"/>
              <w:jc w:val="left"/>
            </w:pPr>
            <w:r>
              <w:t xml:space="preserve">定级专家评审意见</w:t>
            </w:r>
          </w:p>
        </w:tc>
        <w:tc>
          <w:p>
            <w:pPr>
              <w:pStyle w:val="Compact"/>
              <w:jc w:val="left"/>
            </w:pPr>
            <w:r>
              <w:t xml:space="preserve">专家签字意见（第三级须专家评审）</w:t>
            </w:r>
          </w:p>
        </w:tc>
        <w:tc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邀请测评机构/专家库评审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p>
            <w:pPr>
              <w:pStyle w:val="Compact"/>
              <w:jc w:val="left"/>
            </w:pPr>
            <w:r>
              <w:t xml:space="preserve">系统拓扑与资产清单</w:t>
            </w:r>
          </w:p>
        </w:tc>
        <w:tc>
          <w:p>
            <w:pPr>
              <w:pStyle w:val="Compact"/>
              <w:jc w:val="left"/>
            </w:pPr>
            <w:r>
              <w:t xml:space="preserve">网络拓扑图、软硬件资产表</w:t>
            </w:r>
          </w:p>
        </w:tc>
        <w:tc>
          <w:p>
            <w:pPr>
              <w:pStyle w:val="Compact"/>
              <w:jc w:val="left"/>
            </w:pPr>
            <w:r>
              <w:t xml:space="preserve">平台架构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可基于现有部署图整理</w:t>
            </w:r>
          </w:p>
        </w:tc>
      </w:tr>
    </w:tbl>
    <w:p>
      <w:pPr>
        <w:pStyle w:val="Heading3"/>
      </w:pPr>
      <w:bookmarkStart w:id="25" w:name="技术类测评证据按控制类"/>
      <w:bookmarkEnd w:id="25"/>
      <w:r>
        <w:t xml:space="preserve">1.2 技术类测评证据（按控制类）</w:t>
      </w:r>
    </w:p>
    <w:tbl>
      <w:tblPr>
        <w:tblStyle w:val="TableNormal"/>
        <w:tblW w:type="pct" w:w="1666.6666666666667"/>
        <w:tblLook w:firstRow="1"/>
      </w:tblPr>
      <w:tblGrid>
        <w:gridCol w:w="440"/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需提交的证据 / 材料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p>
            <w:pPr>
              <w:pStyle w:val="Compact"/>
              <w:jc w:val="left"/>
            </w:pPr>
            <w:r>
              <w:t xml:space="preserve">安全物理环境</w:t>
            </w:r>
          </w:p>
        </w:tc>
        <w:tc>
          <w:p>
            <w:pPr>
              <w:pStyle w:val="Compact"/>
              <w:jc w:val="left"/>
            </w:pPr>
            <w:r>
              <w:t xml:space="preserve">云厂商等保资质证书复印件、机房说明</w:t>
            </w:r>
          </w:p>
        </w:tc>
        <w:tc>
          <w:p>
            <w:pPr>
              <w:pStyle w:val="Compact"/>
              <w:jc w:val="left"/>
            </w:pPr>
            <w:r>
              <w:t xml:space="preserve">基础设施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阿里云/腾讯云已具三等保证明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p>
            <w:pPr>
              <w:pStyle w:val="Compact"/>
              <w:jc w:val="left"/>
            </w:pPr>
            <w:r>
              <w:t xml:space="preserve">安全通信网络</w:t>
            </w:r>
          </w:p>
        </w:tc>
        <w:tc>
          <w:p>
            <w:pPr>
              <w:pStyle w:val="Compact"/>
              <w:jc w:val="left"/>
            </w:pPr>
            <w:r>
              <w:t xml:space="preserve">网络架构图、TLS 配置说明、HSTS 策略</w:t>
            </w:r>
          </w:p>
        </w:tc>
        <w:tc>
          <w:p>
            <w:pPr>
              <w:pStyle w:val="Compact"/>
              <w:jc w:val="left"/>
            </w:pPr>
            <w:r>
              <w:t xml:space="preserve">平台架构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全站 HTTPS；HSTS 待补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p>
            <w:pPr>
              <w:pStyle w:val="Compact"/>
              <w:jc w:val="left"/>
            </w:pPr>
            <w:r>
              <w:t xml:space="preserve">安全区域边界</w:t>
            </w:r>
          </w:p>
        </w:tc>
        <w:tc>
          <w:p>
            <w:pPr>
              <w:pStyle w:val="Compact"/>
              <w:jc w:val="left"/>
            </w:pPr>
            <w:r>
              <w:t xml:space="preserve">WAF/安全组策略截图、边界访问控制说明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网关 JWT+RBAC 六角色已落地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p>
            <w:pPr>
              <w:pStyle w:val="Compact"/>
              <w:jc w:val="left"/>
            </w:pPr>
            <w:r>
              <w:t xml:space="preserve">安全计算环境 — 身份鉴别</w:t>
            </w:r>
          </w:p>
        </w:tc>
        <w:tc>
          <w:p>
            <w:pPr>
              <w:pStyle w:val="Compact"/>
              <w:jc w:val="left"/>
            </w:pPr>
            <w:r>
              <w:t xml:space="preserve">双因子启用截图/配置、</w:t>
            </w:r>
            <w:r>
              <w:rPr>
                <w:b/>
              </w:rPr>
              <w:t xml:space="preserve">口令策略文档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P4 双因子 TOTP 已真落地（totp_secret 落库、登录真校验）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p>
            <w:pPr>
              <w:pStyle w:val="Compact"/>
              <w:jc w:val="left"/>
            </w:pPr>
            <w:r>
              <w:t xml:space="preserve">安全计算环境 — 访问控制</w:t>
            </w:r>
          </w:p>
        </w:tc>
        <w:tc>
          <w:p>
            <w:pPr>
              <w:pStyle w:val="Compact"/>
              <w:jc w:val="left"/>
            </w:pPr>
            <w:r>
              <w:t xml:space="preserve">RBAC 与 RLS 行级隔离设计说明、最小权限矩阵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六角色 RBAC + 门店级 RLS 已落地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p>
            <w:pPr>
              <w:pStyle w:val="Compact"/>
              <w:jc w:val="left"/>
            </w:pPr>
            <w:r>
              <w:t xml:space="preserve">安全计算环境 — 安全审计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审计日志样例 + 哈希链校验报告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plat_audit_log 全量落库 + SHA-256 链式防篡改；脚本</w:t>
            </w:r>
            <w:r>
              <w:t xml:space="preserve"> </w:t>
            </w:r>
            <w:r>
              <w:rPr>
                <w:rStyle w:val="VerbatimChar"/>
              </w:rPr>
              <w:t xml:space="preserve">app/verify_audit_chain.py</w:t>
            </w:r>
            <w:r>
              <w:t xml:space="preserve"> </w:t>
            </w:r>
            <w:r>
              <w:t xml:space="preserve">可出具完整性证明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p>
            <w:pPr>
              <w:pStyle w:val="Compact"/>
              <w:jc w:val="left"/>
            </w:pPr>
            <w:r>
              <w:t xml:space="preserve">安全计算环境 — 数据保密/完整</w:t>
            </w:r>
          </w:p>
        </w:tc>
        <w:tc>
          <w:p>
            <w:pPr>
              <w:pStyle w:val="Compact"/>
              <w:jc w:val="left"/>
            </w:pPr>
            <w:r>
              <w:t xml:space="preserve">敏感字段脱敏说明、落库加密方案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name_mask/phone_mask 已落地；落库加密（信封加密/KMS）待补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A17</w:t>
            </w:r>
          </w:p>
        </w:tc>
        <w:tc>
          <w:p>
            <w:pPr>
              <w:pStyle w:val="Compact"/>
              <w:jc w:val="left"/>
            </w:pPr>
            <w:r>
              <w:t xml:space="preserve">安全计算环境 — 备份恢复</w:t>
            </w:r>
          </w:p>
        </w:tc>
        <w:tc>
          <w:p>
            <w:pPr>
              <w:pStyle w:val="Compact"/>
              <w:jc w:val="left"/>
            </w:pPr>
            <w:r>
              <w:t xml:space="preserve">备份策略、恢复演练记录</w:t>
            </w:r>
          </w:p>
        </w:tc>
        <w:tc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PG 自动备份 + ClickHouse 副本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A18</w:t>
            </w:r>
          </w:p>
        </w:tc>
        <w:tc>
          <w:p>
            <w:pPr>
              <w:pStyle w:val="Compact"/>
              <w:jc w:val="left"/>
            </w:pPr>
            <w:r>
              <w:t xml:space="preserve">安全计算环境 — 个人信息保护</w:t>
            </w:r>
          </w:p>
        </w:tc>
        <w:tc>
          <w:p>
            <w:pPr>
              <w:pStyle w:val="Compact"/>
              <w:jc w:val="left"/>
            </w:pPr>
            <w:r>
              <w:t xml:space="preserve">隐私政策、脱敏与隐私计算说明</w:t>
            </w:r>
          </w:p>
        </w:tc>
        <w:tc>
          <w:p>
            <w:pPr>
              <w:pStyle w:val="Compact"/>
              <w:jc w:val="left"/>
            </w:pPr>
            <w:r>
              <w:t xml:space="preserve">数据中台/合规</w:t>
            </w:r>
          </w:p>
        </w:tc>
        <w:tc>
          <w:p>
            <w:pPr>
              <w:pStyle w:val="Compact"/>
              <w:jc w:val="left"/>
            </w:pPr>
            <w:r>
              <w:t xml:space="preserve">🔗</w:t>
            </w:r>
          </w:p>
        </w:tc>
        <w:tc>
          <w:p>
            <w:pPr>
              <w:pStyle w:val="Compact"/>
              <w:jc w:val="left"/>
            </w:pPr>
            <w:r>
              <w:t xml:space="preserve">见《隐私政策以及用户服务协议》《合规清单》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A19</w:t>
            </w:r>
          </w:p>
        </w:tc>
        <w:tc>
          <w:p>
            <w:pPr>
              <w:pStyle w:val="Compact"/>
              <w:jc w:val="left"/>
            </w:pPr>
            <w:r>
              <w:t xml:space="preserve">安全管理中心</w:t>
            </w:r>
          </w:p>
        </w:tc>
        <w:tc>
          <w:p>
            <w:pPr>
              <w:pStyle w:val="Compact"/>
              <w:jc w:val="left"/>
            </w:pPr>
            <w:r>
              <w:t xml:space="preserve">审计集中分析（Grafana）截图、集中管控说明</w:t>
            </w:r>
          </w:p>
        </w:tc>
        <w:tc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审计日志已接入看板</w:t>
            </w:r>
          </w:p>
        </w:tc>
      </w:tr>
    </w:tbl>
    <w:p>
      <w:pPr>
        <w:pStyle w:val="Heading3"/>
      </w:pPr>
      <w:bookmarkStart w:id="26" w:name="管理类制度文件汇编须正式发布版本受控"/>
      <w:bookmarkEnd w:id="26"/>
      <w:r>
        <w:t xml:space="preserve">1.3 管理类制度文件汇编（须正式发布、版本受控）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材料名称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 / 产出物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A20</w:t>
            </w:r>
          </w:p>
        </w:tc>
        <w:tc>
          <w:p>
            <w:pPr>
              <w:pStyle w:val="Compact"/>
              <w:jc w:val="left"/>
            </w:pPr>
            <w:r>
              <w:t xml:space="preserve">安全管理制度总册</w:t>
            </w:r>
          </w:p>
        </w:tc>
        <w:tc>
          <w:p>
            <w:pPr>
              <w:pStyle w:val="Compact"/>
              <w:jc w:val="left"/>
            </w:pPr>
            <w:r>
              <w:t xml:space="preserve">安全策略/管理制度/操作规程</w:t>
            </w:r>
          </w:p>
        </w:tc>
        <w:tc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建议纳入 ISO27001 体系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A21</w:t>
            </w:r>
          </w:p>
        </w:tc>
        <w:tc>
          <w:p>
            <w:pPr>
              <w:pStyle w:val="Compact"/>
              <w:jc w:val="left"/>
            </w:pPr>
            <w:r>
              <w:t xml:space="preserve">组织机构与岗位职责</w:t>
            </w:r>
          </w:p>
        </w:tc>
        <w:tc>
          <w:p>
            <w:pPr>
              <w:pStyle w:val="Compact"/>
              <w:jc w:val="left"/>
            </w:pPr>
            <w:r>
              <w:t xml:space="preserve">安全领导小组、岗位责任书</w:t>
            </w:r>
          </w:p>
        </w:tc>
        <w:tc>
          <w:p>
            <w:pPr>
              <w:pStyle w:val="Compact"/>
              <w:jc w:val="left"/>
            </w:pPr>
            <w:r>
              <w:t xml:space="preserve">管理层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含网络安全第一责任人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A22</w:t>
            </w:r>
          </w:p>
        </w:tc>
        <w:tc>
          <w:p>
            <w:pPr>
              <w:pStyle w:val="Compact"/>
              <w:jc w:val="left"/>
            </w:pPr>
            <w:r>
              <w:t xml:space="preserve">人员安全管理</w:t>
            </w:r>
          </w:p>
        </w:tc>
        <w:tc>
          <w:p>
            <w:pPr>
              <w:pStyle w:val="Compact"/>
              <w:jc w:val="left"/>
            </w:pPr>
            <w:r>
              <w:t xml:space="preserve">录用/培训/考核/离岗/背景审查制度</w:t>
            </w:r>
          </w:p>
        </w:tc>
        <w:tc>
          <w:p>
            <w:pPr>
              <w:pStyle w:val="Compact"/>
              <w:jc w:val="left"/>
            </w:pPr>
            <w:r>
              <w:t xml:space="preserve">HR/合规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A23</w:t>
            </w:r>
          </w:p>
        </w:tc>
        <w:tc>
          <w:p>
            <w:pPr>
              <w:pStyle w:val="Compact"/>
              <w:jc w:val="left"/>
            </w:pPr>
            <w:r>
              <w:t xml:space="preserve">建设管理</w:t>
            </w:r>
          </w:p>
        </w:tc>
        <w:tc>
          <w:p>
            <w:pPr>
              <w:pStyle w:val="Compact"/>
              <w:jc w:val="left"/>
            </w:pPr>
            <w:r>
              <w:t xml:space="preserve">定级、测评、上线安全评估流程</w:t>
            </w:r>
          </w:p>
        </w:tc>
        <w:tc>
          <w:p>
            <w:pPr>
              <w:pStyle w:val="Compact"/>
              <w:jc w:val="left"/>
            </w:pPr>
            <w:r>
              <w:t xml:space="preserve">合规/架构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见 1.1 定级备案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A24</w:t>
            </w:r>
          </w:p>
        </w:tc>
        <w:tc>
          <w:p>
            <w:pPr>
              <w:pStyle w:val="Compact"/>
              <w:jc w:val="left"/>
            </w:pPr>
            <w:r>
              <w:t xml:space="preserve">运维管理</w:t>
            </w:r>
          </w:p>
        </w:tc>
        <w:tc>
          <w:p>
            <w:pPr>
              <w:pStyle w:val="Compact"/>
              <w:jc w:val="left"/>
            </w:pPr>
            <w:r>
              <w:t xml:space="preserve">变更/漏洞/事件/应急响应预案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应急预案须演练并有记录</w:t>
            </w:r>
          </w:p>
        </w:tc>
      </w:tr>
    </w:tbl>
    <w:p>
      <w:pPr>
        <w:pStyle w:val="Heading3"/>
      </w:pPr>
      <w:bookmarkStart w:id="27" w:name="测评配合与验证材料"/>
      <w:bookmarkEnd w:id="27"/>
      <w:r>
        <w:t xml:space="preserve">1.4 测评配合与验证材料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材料名称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 / 产出物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A30</w:t>
            </w:r>
          </w:p>
        </w:tc>
        <w:tc>
          <w:p>
            <w:pPr>
              <w:pStyle w:val="Compact"/>
              <w:jc w:val="left"/>
            </w:pPr>
            <w:r>
              <w:t xml:space="preserve">渗透测试 / 漏洞扫描报告</w:t>
            </w:r>
          </w:p>
        </w:tc>
        <w:tc>
          <w:p>
            <w:pPr>
              <w:pStyle w:val="Compact"/>
              <w:jc w:val="left"/>
            </w:pPr>
            <w:r>
              <w:t xml:space="preserve">第三方或自测报告（近 6 个月）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建议委托有资质机构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A31</w:t>
            </w:r>
          </w:p>
        </w:tc>
        <w:tc>
          <w:p>
            <w:pPr>
              <w:pStyle w:val="Compact"/>
              <w:jc w:val="left"/>
            </w:pPr>
            <w:r>
              <w:t xml:space="preserve">应急响应演练记录</w:t>
            </w:r>
          </w:p>
        </w:tc>
        <w:tc>
          <w:p>
            <w:pPr>
              <w:pStyle w:val="Compact"/>
              <w:jc w:val="left"/>
            </w:pPr>
            <w:r>
              <w:t xml:space="preserve">演练方案 + 记录 + 总结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每年至少一次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A32</w:t>
            </w:r>
          </w:p>
        </w:tc>
        <w:tc>
          <w:p>
            <w:pPr>
              <w:pStyle w:val="Compact"/>
              <w:jc w:val="left"/>
            </w:pPr>
            <w:r>
              <w:t xml:space="preserve">安全意识培训记录</w:t>
            </w:r>
          </w:p>
        </w:tc>
        <w:tc>
          <w:p>
            <w:pPr>
              <w:pStyle w:val="Compact"/>
              <w:jc w:val="left"/>
            </w:pPr>
            <w:r>
              <w:t xml:space="preserve">培训签到、课件、考核</w:t>
            </w:r>
          </w:p>
        </w:tc>
        <w:tc>
          <w:p>
            <w:pPr>
              <w:pStyle w:val="Compact"/>
              <w:jc w:val="left"/>
            </w:pPr>
            <w:r>
              <w:t xml:space="preserve">HR/合规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A33</w:t>
            </w:r>
          </w:p>
        </w:tc>
        <w:tc>
          <w:p>
            <w:pPr>
              <w:pStyle w:val="Compact"/>
              <w:jc w:val="left"/>
            </w:pPr>
            <w:r>
              <w:t xml:space="preserve">账号与权限台账</w:t>
            </w:r>
          </w:p>
        </w:tc>
        <w:tc>
          <w:p>
            <w:pPr>
              <w:pStyle w:val="Compact"/>
              <w:jc w:val="left"/>
            </w:pPr>
            <w:r>
              <w:t xml:space="preserve">系统账号清单、权限分配表</w:t>
            </w:r>
          </w:p>
        </w:tc>
        <w:tc>
          <w:p>
            <w:pPr>
              <w:pStyle w:val="Compact"/>
              <w:jc w:val="left"/>
            </w:pPr>
            <w:r>
              <w:t xml:space="preserve">后端/运维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与 RBAC 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A34</w:t>
            </w:r>
          </w:p>
        </w:tc>
        <w:tc>
          <w:p>
            <w:pPr>
              <w:pStyle w:val="Compact"/>
              <w:jc w:val="left"/>
            </w:pPr>
            <w:r>
              <w:t xml:space="preserve">第三方组件/开源清单与 SBOM</w:t>
            </w:r>
          </w:p>
        </w:tc>
        <w:tc>
          <w:p>
            <w:pPr>
              <w:pStyle w:val="Compact"/>
              <w:jc w:val="left"/>
            </w:pPr>
            <w:r>
              <w:t xml:space="preserve">依赖清单、已知漏洞扫描</w:t>
            </w:r>
          </w:p>
        </w:tc>
        <w:tc>
          <w:p>
            <w:pPr>
              <w:pStyle w:val="Compact"/>
              <w:jc w:val="left"/>
            </w:pPr>
            <w:r>
              <w:t xml:space="preserve">架构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支撑供应链安全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二互联网医院执业许可材料清单卫生健康行政部门"/>
      <w:bookmarkEnd w:id="28"/>
      <w:r>
        <w:t xml:space="preserve">二、互联网医院执业许可材料清单（卫生健康行政部门）</w:t>
      </w:r>
    </w:p>
    <w:p>
      <w:pPr>
        <w:pStyle w:val="BlockText"/>
      </w:pPr>
      <w:r>
        <w:t xml:space="preserve">依据《互联网医院管理办法（试行）》《互联网诊疗管理办法（试行）》，互联网医院须由</w:t>
      </w:r>
      <w:r>
        <w:rPr>
          <w:b/>
        </w:rPr>
        <w:t xml:space="preserve">实体医疗机构依托</w:t>
      </w:r>
      <w:r>
        <w:t xml:space="preserve">申请。</w:t>
      </w:r>
    </w:p>
    <w:p>
      <w:pPr>
        <w:pStyle w:val="Heading3"/>
      </w:pPr>
      <w:bookmarkStart w:id="29" w:name="主体与资质"/>
      <w:bookmarkEnd w:id="29"/>
      <w:r>
        <w:t xml:space="preserve">2.1 主体与资质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材料名称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 / 产出物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</w:t>
            </w:r>
          </w:p>
        </w:tc>
        <w:tc>
          <w:p>
            <w:pPr>
              <w:pStyle w:val="Compact"/>
              <w:jc w:val="left"/>
            </w:pPr>
            <w:r>
              <w:t xml:space="preserve">设置互联网医院申请书</w:t>
            </w:r>
          </w:p>
        </w:tc>
        <w:tc>
          <w:p>
            <w:pPr>
              <w:pStyle w:val="Compact"/>
              <w:jc w:val="left"/>
            </w:pPr>
            <w:r>
              <w:t xml:space="preserve">省级卫健部门制式表格</w:t>
            </w:r>
          </w:p>
        </w:tc>
        <w:tc>
          <w:p>
            <w:pPr>
              <w:pStyle w:val="Compact"/>
              <w:jc w:val="left"/>
            </w:pPr>
            <w:r>
              <w:t xml:space="preserve">合规/运营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B02</w:t>
            </w:r>
          </w:p>
        </w:tc>
        <w:tc>
          <w:p>
            <w:pPr>
              <w:pStyle w:val="Compact"/>
              <w:jc w:val="left"/>
            </w:pPr>
            <w:r>
              <w:t xml:space="preserve">实体医疗机构执业许可证</w:t>
            </w:r>
          </w:p>
        </w:tc>
        <w:tc>
          <w:p>
            <w:pPr>
              <w:pStyle w:val="Compact"/>
              <w:jc w:val="left"/>
            </w:pPr>
            <w:r>
              <w:t xml:space="preserve">复印件（作为依托主体）</w:t>
            </w:r>
          </w:p>
        </w:tc>
        <w:tc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须与申请主体有合作/协议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B03</w:t>
            </w:r>
          </w:p>
        </w:tc>
        <w:tc>
          <w:p>
            <w:pPr>
              <w:pStyle w:val="Compact"/>
              <w:jc w:val="left"/>
            </w:pPr>
            <w:r>
              <w:t xml:space="preserve">合作建立协议</w:t>
            </w:r>
          </w:p>
        </w:tc>
        <w:tc>
          <w:p>
            <w:pPr>
              <w:pStyle w:val="Compact"/>
              <w:jc w:val="left"/>
            </w:pPr>
            <w:r>
              <w:t xml:space="preserve">实体医疗机构与平台合作合同</w:t>
            </w:r>
          </w:p>
        </w:tc>
        <w:tc>
          <w:p>
            <w:pPr>
              <w:pStyle w:val="Compact"/>
              <w:jc w:val="left"/>
            </w:pPr>
            <w:r>
              <w:t xml:space="preserve">法务/运营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明确责任划分、数据归属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B04</w:t>
            </w:r>
          </w:p>
        </w:tc>
        <w:tc>
          <w:p>
            <w:pPr>
              <w:pStyle w:val="Compact"/>
              <w:jc w:val="left"/>
            </w:pPr>
            <w:r>
              <w:t xml:space="preserve">医疗机构法定代表人/负责人资格</w:t>
            </w:r>
          </w:p>
        </w:tc>
        <w:tc>
          <w:p>
            <w:pPr>
              <w:pStyle w:val="Compact"/>
              <w:jc w:val="left"/>
            </w:pPr>
            <w:r>
              <w:t xml:space="preserve">身份证明、任职文件</w:t>
            </w:r>
          </w:p>
        </w:tc>
        <w:tc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</w:pPr>
          </w:p>
        </w:tc>
      </w:tr>
    </w:tbl>
    <w:p>
      <w:pPr>
        <w:pStyle w:val="Heading3"/>
      </w:pPr>
      <w:bookmarkStart w:id="30" w:name="人员资质"/>
      <w:bookmarkEnd w:id="30"/>
      <w:r>
        <w:t xml:space="preserve">2.2 人员资质</w:t>
      </w:r>
    </w:p>
    <w:tbl>
      <w:tblPr>
        <w:tblStyle w:val="TableNormal"/>
        <w:tblW w:type="pct" w:w="1666.6666666666667"/>
        <w:tblLook w:firstRow="1"/>
      </w:tblPr>
      <w:tblGrid>
        <w:gridCol w:w="440"/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材料名称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 / 产出物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p>
            <w:pPr>
              <w:pStyle w:val="Compact"/>
              <w:jc w:val="left"/>
            </w:pPr>
            <w:r>
              <w:t xml:space="preserve">执业医师资质</w:t>
            </w:r>
          </w:p>
        </w:tc>
        <w:tc>
          <w:p>
            <w:pPr>
              <w:pStyle w:val="Compact"/>
              <w:jc w:val="left"/>
            </w:pPr>
            <w:r>
              <w:t xml:space="preserve">医师执业证书、职称证明（≥1 名（副）主任医师坐镇）</w:t>
            </w:r>
          </w:p>
        </w:tc>
        <w:tc>
          <w:p>
            <w:pPr>
              <w:pStyle w:val="Compact"/>
              <w:jc w:val="left"/>
            </w:pPr>
            <w:r>
              <w:t xml:space="preserve">医务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平台</w:t>
            </w:r>
            <w:r>
              <w:t xml:space="preserve"> </w:t>
            </w:r>
            <w:r>
              <w:rPr>
                <w:rStyle w:val="VerbatimChar"/>
              </w:rPr>
              <w:t xml:space="preserve">/ih/doctors</w:t>
            </w:r>
            <w:r>
              <w:t xml:space="preserve"> </w:t>
            </w:r>
            <w:r>
              <w:t xml:space="preserve">已建模，医师审核流程在 3.3 后台落地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p>
            <w:pPr>
              <w:pStyle w:val="Compact"/>
              <w:jc w:val="left"/>
            </w:pPr>
            <w:r>
              <w:t xml:space="preserve">药师资质</w:t>
            </w:r>
          </w:p>
        </w:tc>
        <w:tc>
          <w:p>
            <w:pPr>
              <w:pStyle w:val="Compact"/>
              <w:jc w:val="left"/>
            </w:pPr>
            <w:r>
              <w:t xml:space="preserve">执业药师注册证（处方审核）</w:t>
            </w:r>
          </w:p>
        </w:tc>
        <w:tc>
          <w:p>
            <w:pPr>
              <w:pStyle w:val="Compact"/>
              <w:jc w:val="left"/>
            </w:pPr>
            <w:r>
              <w:t xml:space="preserve">医务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处方须经药师审核（第14章 rx_engine 已对接机制）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t xml:space="preserve">信息技术与安全人员</w:t>
            </w:r>
          </w:p>
        </w:tc>
        <w:tc>
          <w:p>
            <w:pPr>
              <w:pStyle w:val="Compact"/>
              <w:jc w:val="left"/>
            </w:pPr>
            <w:r>
              <w:t xml:space="preserve">岗位说明、资质证明</w:t>
            </w:r>
          </w:p>
        </w:tc>
        <w:tc>
          <w:p>
            <w:pPr>
              <w:pStyle w:val="Compact"/>
              <w:jc w:val="left"/>
            </w:pPr>
            <w:r>
              <w:t xml:space="preserve">平台架构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配合等保与系统运维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p>
            <w:pPr>
              <w:pStyle w:val="Compact"/>
              <w:jc w:val="left"/>
            </w:pPr>
            <w:r>
              <w:t xml:space="preserve">人员培训与考核记录</w:t>
            </w:r>
          </w:p>
        </w:tc>
        <w:tc>
          <w:p>
            <w:pPr>
              <w:pStyle w:val="Compact"/>
              <w:jc w:val="left"/>
            </w:pPr>
            <w:r>
              <w:t xml:space="preserve">培训/考核材料</w:t>
            </w:r>
          </w:p>
        </w:tc>
        <w:tc>
          <w:p>
            <w:pPr>
              <w:pStyle w:val="Compact"/>
              <w:jc w:val="left"/>
            </w:pPr>
            <w:r>
              <w:t xml:space="preserve">医务/HR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</w:pPr>
          </w:p>
        </w:tc>
      </w:tr>
    </w:tbl>
    <w:p>
      <w:pPr>
        <w:pStyle w:val="Heading3"/>
      </w:pPr>
      <w:bookmarkStart w:id="31" w:name="制度与规则"/>
      <w:bookmarkEnd w:id="31"/>
      <w:r>
        <w:t xml:space="preserve">2.3 制度与规则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材料名称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 / 产出物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B20</w:t>
            </w:r>
          </w:p>
        </w:tc>
        <w:tc>
          <w:p>
            <w:pPr>
              <w:pStyle w:val="Compact"/>
              <w:jc w:val="left"/>
            </w:pPr>
            <w:r>
              <w:t xml:space="preserve">互联网医院执业规则</w:t>
            </w:r>
          </w:p>
        </w:tc>
        <w:tc>
          <w:p>
            <w:pPr>
              <w:pStyle w:val="Compact"/>
              <w:jc w:val="left"/>
            </w:pPr>
            <w:r>
              <w:t xml:space="preserve">诊疗/复诊/处方/转诊规则</w:t>
            </w:r>
          </w:p>
        </w:tc>
        <w:tc>
          <w:p>
            <w:pPr>
              <w:pStyle w:val="Compact"/>
              <w:jc w:val="left"/>
            </w:pPr>
            <w:r>
              <w:t xml:space="preserve">医务/合规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须明确"仅限复诊"等红线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B21</w:t>
            </w:r>
          </w:p>
        </w:tc>
        <w:tc>
          <w:p>
            <w:pPr>
              <w:pStyle w:val="Compact"/>
              <w:jc w:val="left"/>
            </w:pPr>
            <w:r>
              <w:t xml:space="preserve">医疗质量与安全管理制</w:t>
            </w:r>
          </w:p>
        </w:tc>
        <w:tc>
          <w:p>
            <w:pPr>
              <w:pStyle w:val="Compact"/>
              <w:jc w:val="left"/>
            </w:pPr>
            <w:r>
              <w:t xml:space="preserve">质控、不良事件、应急预案</w:t>
            </w:r>
          </w:p>
        </w:tc>
        <w:tc>
          <w:p>
            <w:pPr>
              <w:pStyle w:val="Compact"/>
              <w:jc w:val="left"/>
            </w:pPr>
            <w:r>
              <w:t xml:space="preserve">医务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B22</w:t>
            </w:r>
          </w:p>
        </w:tc>
        <w:tc>
          <w:p>
            <w:pPr>
              <w:pStyle w:val="Compact"/>
              <w:jc w:val="left"/>
            </w:pPr>
            <w:r>
              <w:t xml:space="preserve">患者知情同意与隐私政策</w:t>
            </w:r>
          </w:p>
        </w:tc>
        <w:tc>
          <w:p>
            <w:pPr>
              <w:pStyle w:val="Compact"/>
              <w:jc w:val="left"/>
            </w:pPr>
            <w:r>
              <w:t xml:space="preserve">知情同意书模板、隐私政策</w:t>
            </w:r>
          </w:p>
        </w:tc>
        <w:tc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p>
            <w:pPr>
              <w:pStyle w:val="Compact"/>
              <w:jc w:val="left"/>
            </w:pPr>
            <w:r>
              <w:t xml:space="preserve">🔗</w:t>
            </w:r>
          </w:p>
        </w:tc>
        <w:tc>
          <w:p>
            <w:pPr>
              <w:pStyle w:val="Compact"/>
              <w:jc w:val="left"/>
            </w:pPr>
            <w:r>
              <w:t xml:space="preserve">见《隐私政策以及用户服务协议》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B23</w:t>
            </w:r>
          </w:p>
        </w:tc>
        <w:tc>
          <w:p>
            <w:pPr>
              <w:pStyle w:val="Compact"/>
              <w:jc w:val="left"/>
            </w:pPr>
            <w:r>
              <w:t xml:space="preserve">电子处方与药品配送管理制度</w:t>
            </w:r>
          </w:p>
        </w:tc>
        <w:tc>
          <w:p>
            <w:pPr>
              <w:pStyle w:val="Compact"/>
              <w:jc w:val="left"/>
            </w:pPr>
            <w:r>
              <w:t xml:space="preserve">处方流转、药品配送协议</w:t>
            </w:r>
          </w:p>
        </w:tc>
        <w:tc>
          <w:p>
            <w:pPr>
              <w:pStyle w:val="Compact"/>
              <w:jc w:val="left"/>
            </w:pPr>
            <w:r>
              <w:t xml:space="preserve">医务/运营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处方药凭方购买（小程序 3.1 已落地）</w:t>
            </w:r>
          </w:p>
        </w:tc>
      </w:tr>
    </w:tbl>
    <w:p>
      <w:pPr>
        <w:pStyle w:val="Heading3"/>
      </w:pPr>
      <w:bookmarkStart w:id="32" w:name="信息系统与安全保障"/>
      <w:bookmarkEnd w:id="32"/>
      <w:r>
        <w:t xml:space="preserve">2.4 信息系统与安全保障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材料名称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 / 产出物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B30</w:t>
            </w:r>
          </w:p>
        </w:tc>
        <w:tc>
          <w:p>
            <w:pPr>
              <w:pStyle w:val="Compact"/>
              <w:jc w:val="left"/>
            </w:pPr>
            <w:r>
              <w:t xml:space="preserve">信息系统三级等保备案证明</w:t>
            </w:r>
          </w:p>
        </w:tc>
        <w:tc>
          <w:p>
            <w:pPr>
              <w:pStyle w:val="Compact"/>
              <w:jc w:val="left"/>
            </w:pPr>
            <w:r>
              <w:t xml:space="preserve">备案证明复印件</w:t>
            </w:r>
          </w:p>
        </w:tc>
        <w:tc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p>
            <w:pPr>
              <w:pStyle w:val="Compact"/>
              <w:jc w:val="left"/>
            </w:pPr>
            <w:r>
              <w:t xml:space="preserve">🔗</w:t>
            </w:r>
          </w:p>
        </w:tc>
        <w:tc>
          <w:p>
            <w:pPr>
              <w:pStyle w:val="Compact"/>
              <w:jc w:val="left"/>
            </w:pPr>
            <w:r>
              <w:t xml:space="preserve">见本文第一部分的 A01–A02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B31</w:t>
            </w:r>
          </w:p>
        </w:tc>
        <w:tc>
          <w:p>
            <w:pPr>
              <w:pStyle w:val="Compact"/>
              <w:jc w:val="left"/>
            </w:pPr>
            <w:r>
              <w:t xml:space="preserve">数据安全和隐私保护方案</w:t>
            </w:r>
          </w:p>
        </w:tc>
        <w:tc>
          <w:p>
            <w:pPr>
              <w:pStyle w:val="Compact"/>
              <w:jc w:val="left"/>
            </w:pPr>
            <w:r>
              <w:t xml:space="preserve">数据分类分级、加密、审计说明</w:t>
            </w:r>
          </w:p>
        </w:tc>
        <w:tc>
          <w:p>
            <w:pPr>
              <w:pStyle w:val="Compact"/>
              <w:jc w:val="left"/>
            </w:pPr>
            <w:r>
              <w:t xml:space="preserve">后端/合规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脱敏 + 审计链 + RLS 已落地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B32</w:t>
            </w:r>
          </w:p>
        </w:tc>
        <w:tc>
          <w:p>
            <w:pPr>
              <w:pStyle w:val="Compact"/>
              <w:jc w:val="left"/>
            </w:pPr>
            <w:r>
              <w:t xml:space="preserve">系统功能说明与技术架构</w:t>
            </w:r>
          </w:p>
        </w:tc>
        <w:tc>
          <w:p>
            <w:pPr>
              <w:pStyle w:val="Compact"/>
              <w:jc w:val="left"/>
            </w:pPr>
            <w:r>
              <w:t xml:space="preserve">架构图、功能清单</w:t>
            </w:r>
          </w:p>
        </w:tc>
        <w:tc>
          <w:p>
            <w:pPr>
              <w:pStyle w:val="Compact"/>
              <w:jc w:val="left"/>
            </w:pPr>
            <w:r>
              <w:t xml:space="preserve">平台架构</w:t>
            </w:r>
          </w:p>
        </w:tc>
        <w:tc>
          <w:p>
            <w:pPr>
              <w:pStyle w:val="Compact"/>
              <w:jc w:val="left"/>
            </w:pPr>
            <w:r>
              <w:t xml:space="preserve">🔗</w:t>
            </w:r>
          </w:p>
        </w:tc>
        <w:tc>
          <w:p>
            <w:pPr>
              <w:pStyle w:val="Compact"/>
              <w:jc w:val="left"/>
            </w:pPr>
            <w:r>
              <w:t xml:space="preserve">见《技术架构设计方案》《PRD V2.0》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B33</w:t>
            </w:r>
          </w:p>
        </w:tc>
        <w:tc>
          <w:p>
            <w:pPr>
              <w:pStyle w:val="Compact"/>
              <w:jc w:val="left"/>
            </w:pPr>
            <w:r>
              <w:t xml:space="preserve">应急预案与技术保障能力</w:t>
            </w:r>
          </w:p>
        </w:tc>
        <w:tc>
          <w:p>
            <w:pPr>
              <w:pStyle w:val="Compact"/>
              <w:jc w:val="left"/>
            </w:pPr>
            <w:r>
              <w:t xml:space="preserve">系统可用性、容灾说明</w:t>
            </w:r>
          </w:p>
        </w:tc>
        <w:tc>
          <w:p>
            <w:pPr>
              <w:pStyle w:val="Compact"/>
              <w:jc w:val="left"/>
            </w:pPr>
            <w:r>
              <w:t xml:space="preserve">运维/架构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见 P5 待办（性能容灾）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三销项与排期建议p0"/>
      <w:bookmarkEnd w:id="33"/>
      <w:r>
        <w:t xml:space="preserve">三、销项与排期建议（P0）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immediate（本周）</w:t>
      </w:r>
      <w:r>
        <w:t xml:space="preserve">：补齐 B30 等保备案证明所需 A01–A03 定级材料；收集 B02 实体医疗机构执业许可证与合作协议。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两周内</w:t>
      </w:r>
      <w:r>
        <w:t xml:space="preserve">：完成 A20–A24 管理制度汇编发布；输出 A30 渗透测试、A31 应急演练。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上线前</w:t>
      </w:r>
      <w:r>
        <w:t xml:space="preserve">：取得等保三级测评报告（A 系列闭环）；提交 B 系列执业许可申请。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代码侧持续</w:t>
      </w:r>
      <w:r>
        <w:t xml:space="preserve">：落库加密（P4 后续）、HSTS、可信验证接入，对应 A11/A16 待补项。</w:t>
      </w:r>
    </w:p>
    <w:p>
      <w:pPr>
        <w:pStyle w:val="BlockText"/>
      </w:pPr>
      <w:r>
        <w:t xml:space="preserve">关联交付物：</w:t>
      </w:r>
      <w:r>
        <w:t xml:space="preserve"> </w:t>
      </w:r>
      <w:r>
        <w:t xml:space="preserve">- 《合规清单与等保三级准备工作》（技术控制映射）</w:t>
      </w:r>
      <w:r>
        <w:t xml:space="preserve"> </w:t>
      </w:r>
      <w:r>
        <w:t xml:space="preserve">- 《技术架构设计方案》（第10/11/13/14/15章 安全与合规设计）</w:t>
      </w:r>
      <w:r>
        <w:t xml:space="preserve"> </w:t>
      </w:r>
      <w:r>
        <w:t xml:space="preserve">- 《隐私政策以及用户服务协议》</w:t>
      </w:r>
      <w:r>
        <w:t xml:space="preserve"> </w:t>
      </w:r>
      <w:r>
        <w:t xml:space="preserve">- PRD V2.0（3.1 患者端 / 3.3 互联网医院管理 等合规流程）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270d872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d2f06d1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1ea84ef7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2026-07-25T20:30:56Z</dcterms:created>
  <dcterms:modified xsi:type="dcterms:W3CDTF">2026-07-25T20:30:56Z</dcterms:modified>
</cp:coreProperties>
</file>