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Malgun Gothic" w:cs="Malgun Gothic" w:eastAsia="Malgun Gothic" w:hAnsi="Malgun Gothic"/>
          <w:b/>
          <w:bCs/>
          <w:sz w:val="44"/>
          <w:szCs w:val="44"/>
        </w:rPr>
        <w:t xml:space="preserve">「쿼드렌즈」 개발계획서</w:t>
      </w:r>
    </w:p>
    <w:p>
      <w:pPr>
        <w:spacing w:after="120"/>
        <w:jc w:val="center"/>
      </w:pPr>
      <w:r>
        <w:rPr>
          <w:rFonts w:ascii="Malgun Gothic" w:cs="Malgun Gothic" w:eastAsia="Malgun Gothic" w:hAnsi="Malgun Gothic"/>
          <w:color w:val="555555"/>
          <w:sz w:val="24"/>
          <w:szCs w:val="24"/>
        </w:rPr>
        <w:t xml:space="preserve">리서치 × 밸류에이션 × 기술적분석 × 수급분석 — 4-in-1 AI 종목 진단 스테이션</w:t>
      </w:r>
    </w:p>
    <w:p>
      <w:pPr>
        <w:spacing w:after="2400"/>
        <w:jc w:val="center"/>
      </w:pPr>
      <w:r>
        <w:rPr>
          <w:rFonts w:ascii="Malgun Gothic" w:cs="Malgun Gothic" w:eastAsia="Malgun Gothic" w:hAnsi="Malgun Gothic"/>
          <w:color w:val="777777"/>
          <w:sz w:val="20"/>
          <w:szCs w:val="20"/>
        </w:rPr>
        <w:t xml:space="preserve">생성형 AI 풀스택 개발자 양성과정 · 캡스톤급 개인 프로젝트  |  작성일: 2026. 07. 08 (트리플렌즈 개정판)</w:t>
      </w:r>
    </w:p>
    <w:p>
      <w:pPr>
        <w:spacing w:after="120"/>
      </w:pPr>
      <w:r>
        <w:rPr>
          <w:rFonts w:ascii="Malgun Gothic" w:cs="Malgun Gothic" w:eastAsia="Malgun Gothic" w:hAnsi="Malgun Gothic"/>
          <w:b/>
          <w:bCs/>
          <w:sz w:val="22"/>
          <w:szCs w:val="22"/>
        </w:rPr>
        <w:t xml:space="preserve">요약</w:t>
      </w:r>
    </w:p>
    <w:p>
      <w:pPr>
        <w:spacing w:after="120"/>
      </w:pPr>
      <w:r>
        <w:rPr>
          <w:rFonts w:ascii="Malgun Gothic" w:cs="Malgun Gothic" w:eastAsia="Malgun Gothic" w:hAnsi="Malgun Gothic"/>
          <w:sz w:val="20"/>
          <w:szCs w:val="20"/>
        </w:rPr>
        <w:t xml:space="preserve">트리플렌즈(리서치·밸류에이션·기술적분석)에 수급분석을 네 번째 렌즈로 추가한 개정판이다. 수급(S렌즈)은 단순한 렌즈 하나의 추가가 아니다 — '가격(T)과 가치(V)가 말하지 않는 것, 즉 누가 사고 있는가'를 답하는 축이며, 특히 V렌즈와 결합하면 '저평가인데 외국인·기관이 이탈 중'이라는 가치함정(Value Trap) 경고가 가능해진다. 4렌즈 조합 해석이야말로 개별 지표를 나열하는 기존 서비스와의 결정적 차별점이다. 데이터는 pykrx의 투자자별 매매동향·공매도 통계로 추가 비용 없이 확보되고, 아키텍처는 렌즈 슬롯에 하나를 더 꽂는 것이라 기존 설계가 그대로 유효하다.</w:t>
      </w:r>
    </w:p>
    <w:p>
      <w:r>
        <w:br w:type="page"/>
      </w:r>
    </w:p>
    <w:p>
      <w:pPr>
        <w:pStyle w:val="Heading1"/>
      </w:pPr>
      <w:r>
        <w:t xml:space="preserve">1. 통합 설계 — 네 렌즈가 답하는 하나의 질문</w:t>
      </w:r>
    </w:p>
    <w:p>
      <w:pPr>
        <w:pStyle w:val="Heading2"/>
      </w:pPr>
      <w:r>
        <w:t xml:space="preserve">1.1 4렌즈의 역할 분담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2600"/>
        <w:gridCol w:w="2626"/>
      </w:tblGrid>
      <w:tr>
        <w:tc>
          <w:tcPr>
            <w:tcW w:type="dxa" w:w="1300"/>
            <w:tcBorders>
              <w:top w:val="single" w:color="BBBBBB" w:sz="1"/>
              <w:left w:val="single" w:color="BBBBBB" w:sz="1"/>
              <w:bottom w:val="single" w:color="BBBBBB" w:sz="1"/>
              <w:right w:val="single" w:color="BBBBBB" w:sz="1"/>
            </w:tcBorders>
            <w:shd w:fill="3B1F5C"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렌즈</w:t>
            </w:r>
          </w:p>
        </w:tc>
        <w:tc>
          <w:tcPr>
            <w:tcW w:type="dxa" w:w="2500"/>
            <w:tcBorders>
              <w:top w:val="single" w:color="BBBBBB" w:sz="1"/>
              <w:left w:val="single" w:color="BBBBBB" w:sz="1"/>
              <w:bottom w:val="single" w:color="BBBBBB" w:sz="1"/>
              <w:right w:val="single" w:color="BBBBBB" w:sz="1"/>
            </w:tcBorders>
            <w:shd w:fill="3B1F5C"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질문</w:t>
            </w:r>
          </w:p>
        </w:tc>
        <w:tc>
          <w:tcPr>
            <w:tcW w:type="dxa" w:w="2600"/>
            <w:tcBorders>
              <w:top w:val="single" w:color="BBBBBB" w:sz="1"/>
              <w:left w:val="single" w:color="BBBBBB" w:sz="1"/>
              <w:bottom w:val="single" w:color="BBBBBB" w:sz="1"/>
              <w:right w:val="single" w:color="BBBBBB" w:sz="1"/>
            </w:tcBorders>
            <w:shd w:fill="3B1F5C"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데이터</w:t>
            </w:r>
          </w:p>
        </w:tc>
        <w:tc>
          <w:tcPr>
            <w:tcW w:type="dxa" w:w="2626"/>
            <w:tcBorders>
              <w:top w:val="single" w:color="BBBBBB" w:sz="1"/>
              <w:left w:val="single" w:color="BBBBBB" w:sz="1"/>
              <w:bottom w:val="single" w:color="BBBBBB" w:sz="1"/>
              <w:right w:val="single" w:color="BBBBBB" w:sz="1"/>
            </w:tcBorders>
            <w:shd w:fill="3B1F5C"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판정 주체</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R 리서치</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무슨 일이 벌어지고 있나?</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DART 공시, 뉴스 RSS</w:t>
            </w:r>
          </w:p>
        </w:tc>
        <w:tc>
          <w:tcPr>
            <w:tcW w:type="dxa" w:w="2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LLM 분류(호재/악재) + 원문 인용</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V 밸류에이션</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비싼가, 싼가?</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DART 재무제표, 시총</w:t>
            </w:r>
          </w:p>
        </w:tc>
        <w:tc>
          <w:tcPr>
            <w:tcW w:type="dxa" w:w="2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룰(업종·과거밴드 대비 수식)</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T 기술적</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추세는 어디로 가나?</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일봉 OHLCV</w:t>
            </w:r>
          </w:p>
        </w:tc>
        <w:tc>
          <w:tcPr>
            <w:tcW w:type="dxa" w:w="2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룰(지표 시그널) + 백테스트</w:t>
            </w:r>
          </w:p>
        </w:tc>
      </w:tr>
      <w:tr>
        <w:tc>
          <w:tcPr>
            <w:tcW w:type="dxa" w:w="1300"/>
            <w:tcBorders>
              <w:top w:val="single" w:color="BBBBBB" w:sz="1"/>
              <w:left w:val="single" w:color="BBBBBB" w:sz="1"/>
              <w:bottom w:val="single" w:color="BBBBBB" w:sz="1"/>
              <w:right w:val="single" w:color="BBBBBB" w:sz="1"/>
            </w:tcBorders>
            <w:shd w:fill="E8E2F0" w:val="clear"/>
            <w:tcMar>
              <w:top w:type="dxa" w:w="60"/>
              <w:left w:type="dxa" w:w="100"/>
              <w:bottom w:type="dxa" w:w="60"/>
              <w:right w:type="dxa" w:w="100"/>
            </w:tcMar>
          </w:tcPr>
          <w:p>
            <w:pPr>
              <w:spacing w:after="0"/>
            </w:pPr>
            <w:r>
              <w:rPr>
                <w:rFonts w:ascii="Malgun Gothic" w:cs="Malgun Gothic" w:eastAsia="Malgun Gothic" w:hAnsi="Malgun Gothic"/>
                <w:b/>
                <w:bCs/>
                <w:sz w:val="18"/>
                <w:szCs w:val="18"/>
              </w:rPr>
              <w:t xml:space="preserve">★ S 수급</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누가 사고, 누가 파나?</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투자자별 매매동향, 공매도</w:t>
            </w:r>
          </w:p>
        </w:tc>
        <w:tc>
          <w:tcPr>
            <w:tcW w:type="dxa" w:w="2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룰(주체별 순매수 강도·연속성)</w:t>
            </w:r>
          </w:p>
        </w:tc>
      </w:tr>
    </w:tbl>
    <w:p>
      <w:pPr>
        <w:pStyle w:val="Heading2"/>
      </w:pPr>
      <w:r>
        <w:t xml:space="preserve">1.2 수급 렌즈가 완성하는 통합의 가치 — 조합 해석</w:t>
      </w:r>
    </w:p>
    <w:p>
      <w:pPr>
        <w:spacing w:after="120"/>
      </w:pPr>
      <w:r>
        <w:rPr>
          <w:rFonts w:ascii="Malgun Gothic" w:cs="Malgun Gothic" w:eastAsia="Malgun Gothic" w:hAnsi="Malgun Gothic"/>
          <w:sz w:val="20"/>
          <w:szCs w:val="20"/>
        </w:rPr>
        <w:t xml:space="preserve">렌즈가 4개가 되면 조합 해석의 수가 폭발적으로 늘고, 이것이 발표·면접의 킬러 콘텐츠가 된다. 대표 조합 패턴을 룰로 정의해 리포트에 자동 표기한다: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c>
          <w:tcPr>
            <w:tcW w:type="dxa" w:w="2500"/>
            <w:tcBorders>
              <w:top w:val="single" w:color="BBBBBB" w:sz="1"/>
              <w:left w:val="single" w:color="BBBBBB" w:sz="1"/>
              <w:bottom w:val="single" w:color="BBBBBB" w:sz="1"/>
              <w:right w:val="single" w:color="BBBBBB" w:sz="1"/>
            </w:tcBorders>
            <w:shd w:fill="3B1F5C"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조합 패턴</w:t>
            </w:r>
          </w:p>
        </w:tc>
        <w:tc>
          <w:tcPr>
            <w:tcW w:type="dxa" w:w="3600"/>
            <w:tcBorders>
              <w:top w:val="single" w:color="BBBBBB" w:sz="1"/>
              <w:left w:val="single" w:color="BBBBBB" w:sz="1"/>
              <w:bottom w:val="single" w:color="BBBBBB" w:sz="1"/>
              <w:right w:val="single" w:color="BBBBBB" w:sz="1"/>
            </w:tcBorders>
            <w:shd w:fill="3B1F5C"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해석 (룰로 정의)</w:t>
            </w:r>
          </w:p>
        </w:tc>
        <w:tc>
          <w:tcPr>
            <w:tcW w:type="dxa" w:w="2926"/>
            <w:tcBorders>
              <w:top w:val="single" w:color="BBBBBB" w:sz="1"/>
              <w:left w:val="single" w:color="BBBBBB" w:sz="1"/>
              <w:bottom w:val="single" w:color="BBBBBB" w:sz="1"/>
              <w:right w:val="single" w:color="BBBBBB" w:sz="1"/>
            </w:tcBorders>
            <w:shd w:fill="3B1F5C"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사용자에게 주는 가치</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V 저평가 + S 이탈</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가치함정(Value Trap) 경고 — 싸 보이는데 큰손이 떠나는 중</w:t>
            </w:r>
          </w:p>
        </w:tc>
        <w:tc>
          <w:tcPr>
            <w:tcW w:type="dxa" w:w="29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'싸니까 사자'의 함정 차단</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T 상승 시그널 + S 유입</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추세의 수급 동행 확인 — 시그널 신뢰도 상향</w:t>
            </w:r>
          </w:p>
        </w:tc>
        <w:tc>
          <w:tcPr>
            <w:tcW w:type="dxa" w:w="29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추격매수 판단 보조</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T 상승 + S 이탈(개인만 유입)</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수급 배반 경고 — 상투 위험 패턴</w:t>
            </w:r>
          </w:p>
        </w:tc>
        <w:tc>
          <w:tcPr>
            <w:tcW w:type="dxa" w:w="29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고점 추격 경계</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R 호재 + S 선행 유입</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정보 선반영 정황 — 공시 전 수급 변화 표시</w:t>
            </w:r>
          </w:p>
        </w:tc>
        <w:tc>
          <w:tcPr>
            <w:tcW w:type="dxa" w:w="29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뉴스 후행매매 경계</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V 저평가 + S 유입 전환</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역발상 관심 구간 — 4렌즈 중 가장 강한 조합</w:t>
            </w:r>
          </w:p>
        </w:tc>
        <w:tc>
          <w:tcPr>
            <w:tcW w:type="dxa" w:w="29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워치리스트 등록 후보</w:t>
            </w:r>
          </w:p>
        </w:tc>
      </w:tr>
    </w:tbl>
    <w:p>
      <w:pPr>
        <w:pStyle w:val="Heading2"/>
      </w:pPr>
      <w:r>
        <w:t xml:space="preserve">1.3 기존 서비스 대비 포지셔닝</w:t>
      </w:r>
    </w:p>
    <w:p>
      <w:pPr>
        <w:pStyle w:val="ListParagraph"/>
        <w:numPr>
          <w:ilvl w:val="0"/>
          <w:numId w:val="2"/>
        </w:numPr>
        <w:spacing w:after="80"/>
      </w:pPr>
      <w:r>
        <w:rPr>
          <w:rFonts w:ascii="Malgun Gothic" w:cs="Malgun Gothic" w:eastAsia="Malgun Gothic" w:hAnsi="Malgun Gothic"/>
          <w:b/>
          <w:bCs/>
          <w:sz w:val="20"/>
          <w:szCs w:val="20"/>
        </w:rPr>
        <w:t xml:space="preserve">증권사 AI·HTS: </w:t>
      </w:r>
      <w:r>
        <w:rPr>
          <w:rFonts w:ascii="Malgun Gothic" w:cs="Malgun Gothic" w:eastAsia="Malgun Gothic" w:hAnsi="Malgun Gothic"/>
          <w:sz w:val="20"/>
          <w:szCs w:val="20"/>
        </w:rPr>
        <w:t xml:space="preserve">수급 데이터 자체는 HTS·MTS에 모두 있다. 그러나 '수급×밸류에이션×기술×리서치'를 한 화면에서 룰 기반으로 조합 판정하고 그 상충을 LLM이 해석해 주는 서비스는 없다 — 데이터가 아니라 통합 해석이 차별점.</w:t>
      </w:r>
    </w:p>
    <w:p>
      <w:pPr>
        <w:pStyle w:val="ListParagraph"/>
        <w:numPr>
          <w:ilvl w:val="0"/>
          <w:numId w:val="2"/>
        </w:numPr>
        <w:spacing w:after="80"/>
      </w:pPr>
      <w:r>
        <w:rPr>
          <w:rFonts w:ascii="Malgun Gothic" w:cs="Malgun Gothic" w:eastAsia="Malgun Gothic" w:hAnsi="Malgun Gothic"/>
          <w:b/>
          <w:bCs/>
          <w:sz w:val="20"/>
          <w:szCs w:val="20"/>
        </w:rPr>
        <w:t xml:space="preserve">화이트박스 원칙 유지: </w:t>
      </w:r>
      <w:r>
        <w:rPr>
          <w:rFonts w:ascii="Malgun Gothic" w:cs="Malgun Gothic" w:eastAsia="Malgun Gothic" w:hAnsi="Malgun Gothic"/>
          <w:sz w:val="20"/>
          <w:szCs w:val="20"/>
        </w:rPr>
        <w:t xml:space="preserve">모든 판정 룰·수식·백테스트 성과 공개. LLM은 판단하지 않고 4렌즈 결과를 통역만 한다(환각 통제 아키텍처).</w:t>
      </w:r>
    </w:p>
    <w:p>
      <w:pPr>
        <w:pStyle w:val="ListParagraph"/>
        <w:numPr>
          <w:ilvl w:val="0"/>
          <w:numId w:val="2"/>
        </w:numPr>
        <w:spacing w:after="80"/>
      </w:pPr>
      <w:r>
        <w:rPr>
          <w:rFonts w:ascii="Malgun Gothic" w:cs="Malgun Gothic" w:eastAsia="Malgun Gothic" w:hAnsi="Malgun Gothic"/>
          <w:b/>
          <w:bCs/>
          <w:sz w:val="20"/>
          <w:szCs w:val="20"/>
        </w:rPr>
        <w:t xml:space="preserve">컴플라이언스: </w:t>
      </w:r>
      <w:r>
        <w:rPr>
          <w:rFonts w:ascii="Malgun Gothic" w:cs="Malgun Gothic" w:eastAsia="Malgun Gothic" w:hAnsi="Malgun Gothic"/>
          <w:sz w:val="20"/>
          <w:szCs w:val="20"/>
        </w:rPr>
        <w:t xml:space="preserve">'매수 추천' 아닌 '시그널·패턴 정보' 표기, 투자자문 아님 고지, 자동매매 범위 제외 — 트리플렌즈와 동일.</w:t>
      </w:r>
    </w:p>
    <w:p>
      <w:r>
        <w:br w:type="page"/>
      </w:r>
    </w:p>
    <w:p>
      <w:pPr>
        <w:pStyle w:val="Heading1"/>
      </w:pPr>
      <w:r>
        <w:t xml:space="preserve">2. S렌즈(수급분석) 상세 설계</w:t>
      </w:r>
    </w:p>
    <w:p>
      <w:pPr>
        <w:pStyle w:val="Heading2"/>
      </w:pPr>
      <w:r>
        <w:t xml:space="preserve">2.1 지표 (MVP 4개 고정)</w:t>
      </w:r>
    </w:p>
    <w:p>
      <w:pPr>
        <w:pStyle w:val="ListParagraph"/>
        <w:numPr>
          <w:ilvl w:val="0"/>
          <w:numId w:val="2"/>
        </w:numPr>
        <w:spacing w:after="80"/>
      </w:pPr>
      <w:r>
        <w:rPr>
          <w:rFonts w:ascii="Malgun Gothic" w:cs="Malgun Gothic" w:eastAsia="Malgun Gothic" w:hAnsi="Malgun Gothic"/>
          <w:b/>
          <w:bCs/>
          <w:sz w:val="20"/>
          <w:szCs w:val="20"/>
        </w:rPr>
        <w:t xml:space="preserve">① 외국인 순매수 강도: </w:t>
      </w:r>
      <w:r>
        <w:rPr>
          <w:rFonts w:ascii="Malgun Gothic" w:cs="Malgun Gothic" w:eastAsia="Malgun Gothic" w:hAnsi="Malgun Gothic"/>
          <w:sz w:val="20"/>
          <w:szCs w:val="20"/>
        </w:rPr>
        <w:t xml:space="preserve">5/20/60일 누적 순매수액을 시가총액 대비 정규화(%) — 종목 간 비교 가능한 강도 지표.</w:t>
      </w:r>
    </w:p>
    <w:p>
      <w:pPr>
        <w:pStyle w:val="ListParagraph"/>
        <w:numPr>
          <w:ilvl w:val="0"/>
          <w:numId w:val="2"/>
        </w:numPr>
        <w:spacing w:after="80"/>
      </w:pPr>
      <w:r>
        <w:rPr>
          <w:rFonts w:ascii="Malgun Gothic" w:cs="Malgun Gothic" w:eastAsia="Malgun Gothic" w:hAnsi="Malgun Gothic"/>
          <w:b/>
          <w:bCs/>
          <w:sz w:val="20"/>
          <w:szCs w:val="20"/>
        </w:rPr>
        <w:t xml:space="preserve">② 기관 순매수 강도: </w:t>
      </w:r>
      <w:r>
        <w:rPr>
          <w:rFonts w:ascii="Malgun Gothic" w:cs="Malgun Gothic" w:eastAsia="Malgun Gothic" w:hAnsi="Malgun Gothic"/>
          <w:sz w:val="20"/>
          <w:szCs w:val="20"/>
        </w:rPr>
        <w:t xml:space="preserve">동일 방식. 연기금·투신 등 세부 주체는 확장 단계에서 분해.</w:t>
      </w:r>
    </w:p>
    <w:p>
      <w:pPr>
        <w:pStyle w:val="ListParagraph"/>
        <w:numPr>
          <w:ilvl w:val="0"/>
          <w:numId w:val="2"/>
        </w:numPr>
        <w:spacing w:after="80"/>
      </w:pPr>
      <w:r>
        <w:rPr>
          <w:rFonts w:ascii="Malgun Gothic" w:cs="Malgun Gothic" w:eastAsia="Malgun Gothic" w:hAnsi="Malgun Gothic"/>
          <w:b/>
          <w:bCs/>
          <w:sz w:val="20"/>
          <w:szCs w:val="20"/>
        </w:rPr>
        <w:t xml:space="preserve">③ 수급 연속성: </w:t>
      </w:r>
      <w:r>
        <w:rPr>
          <w:rFonts w:ascii="Malgun Gothic" w:cs="Malgun Gothic" w:eastAsia="Malgun Gothic" w:hAnsi="Malgun Gothic"/>
          <w:sz w:val="20"/>
          <w:szCs w:val="20"/>
        </w:rPr>
        <w:t xml:space="preserve">주체별 연속 순매수/순매도 일수 — '외국인 12일 연속 순매수' 같은 이벤트 감지.</w:t>
      </w:r>
    </w:p>
    <w:p>
      <w:pPr>
        <w:pStyle w:val="ListParagraph"/>
        <w:numPr>
          <w:ilvl w:val="0"/>
          <w:numId w:val="2"/>
        </w:numPr>
        <w:spacing w:after="80"/>
      </w:pPr>
      <w:r>
        <w:rPr>
          <w:rFonts w:ascii="Malgun Gothic" w:cs="Malgun Gothic" w:eastAsia="Malgun Gothic" w:hAnsi="Malgun Gothic"/>
          <w:b/>
          <w:bCs/>
          <w:sz w:val="20"/>
          <w:szCs w:val="20"/>
        </w:rPr>
        <w:t xml:space="preserve">④ 공매도 압력: </w:t>
      </w:r>
      <w:r>
        <w:rPr>
          <w:rFonts w:ascii="Malgun Gothic" w:cs="Malgun Gothic" w:eastAsia="Malgun Gothic" w:hAnsi="Malgun Gothic"/>
          <w:sz w:val="20"/>
          <w:szCs w:val="20"/>
        </w:rPr>
        <w:t xml:space="preserve">공매도 거래비중·잔고 추이(KRX 공시 주기 기준) — 하방 압력 플래그.</w:t>
      </w:r>
    </w:p>
    <w:p>
      <w:pPr>
        <w:pStyle w:val="Heading2"/>
      </w:pPr>
      <w:r>
        <w:t xml:space="preserve">2.2 판정 룰과 백테스트</w:t>
      </w:r>
    </w:p>
    <w:p>
      <w:pPr>
        <w:pStyle w:val="ListParagraph"/>
        <w:numPr>
          <w:ilvl w:val="0"/>
          <w:numId w:val="2"/>
        </w:numPr>
        <w:spacing w:after="80"/>
      </w:pPr>
      <w:r>
        <w:rPr>
          <w:rFonts w:ascii="Malgun Gothic" w:cs="Malgun Gothic" w:eastAsia="Malgun Gothic" w:hAnsi="Malgun Gothic"/>
          <w:b/>
          <w:bCs/>
          <w:sz w:val="20"/>
          <w:szCs w:val="20"/>
        </w:rPr>
        <w:t xml:space="preserve">수급 판정: </w:t>
      </w:r>
      <w:r>
        <w:rPr>
          <w:rFonts w:ascii="Malgun Gothic" w:cs="Malgun Gothic" w:eastAsia="Malgun Gothic" w:hAnsi="Malgun Gothic"/>
          <w:sz w:val="20"/>
          <w:szCs w:val="20"/>
        </w:rPr>
        <w:t xml:space="preserve">주체별 강도·연속성을 가중 합산해 유입/중립/이탈 3단계 판정. 개인 단독 유입은 가점이 아닌 경계 플래그로 처리(역지표 성격을 룰에 명시).</w:t>
      </w:r>
    </w:p>
    <w:p>
      <w:pPr>
        <w:pStyle w:val="ListParagraph"/>
        <w:numPr>
          <w:ilvl w:val="0"/>
          <w:numId w:val="2"/>
        </w:numPr>
        <w:spacing w:after="80"/>
      </w:pPr>
      <w:r>
        <w:rPr>
          <w:rFonts w:ascii="Malgun Gothic" w:cs="Malgun Gothic" w:eastAsia="Malgun Gothic" w:hAnsi="Malgun Gothic"/>
          <w:b/>
          <w:bCs/>
          <w:sz w:val="20"/>
          <w:szCs w:val="20"/>
        </w:rPr>
        <w:t xml:space="preserve">수급 시그널 백테스트: </w:t>
      </w:r>
      <w:r>
        <w:rPr>
          <w:rFonts w:ascii="Malgun Gothic" w:cs="Malgun Gothic" w:eastAsia="Malgun Gothic" w:hAnsi="Malgun Gothic"/>
          <w:sz w:val="20"/>
          <w:szCs w:val="20"/>
        </w:rPr>
        <w:t xml:space="preserve">T렌즈 백테스트 프레임 재사용 — '외국인 N일 연속 순매수 발생 후 20일 수익률' 등 수급 이벤트의 종목별 과거 성과를 계산해 시그널 옆에 신뢰도 표시.</w:t>
      </w:r>
    </w:p>
    <w:p>
      <w:pPr>
        <w:pStyle w:val="ListParagraph"/>
        <w:numPr>
          <w:ilvl w:val="0"/>
          <w:numId w:val="2"/>
        </w:numPr>
        <w:spacing w:after="80"/>
      </w:pPr>
      <w:r>
        <w:rPr>
          <w:rFonts w:ascii="Malgun Gothic" w:cs="Malgun Gothic" w:eastAsia="Malgun Gothic" w:hAnsi="Malgun Gothic"/>
          <w:b/>
          <w:bCs/>
          <w:sz w:val="20"/>
          <w:szCs w:val="20"/>
        </w:rPr>
        <w:t xml:space="preserve">시각화: </w:t>
      </w:r>
      <w:r>
        <w:rPr>
          <w:rFonts w:ascii="Malgun Gothic" w:cs="Malgun Gothic" w:eastAsia="Malgun Gothic" w:hAnsi="Malgun Gothic"/>
          <w:sz w:val="20"/>
          <w:szCs w:val="20"/>
        </w:rPr>
        <w:t xml:space="preserve">가격 캔들차트 하단에 주체별 누적 순매수 서브차트 오버레이 — 가격과 수급의 괴리를 한눈에.</w:t>
      </w:r>
    </w:p>
    <w:p>
      <w:pPr>
        <w:pStyle w:val="Heading2"/>
      </w:pPr>
      <w:r>
        <w:t xml:space="preserve">2.3 데이터 소스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3300"/>
        <w:gridCol w:w="2626"/>
      </w:tblGrid>
      <w:tr>
        <w:tc>
          <w:tcPr>
            <w:tcW w:type="dxa" w:w="3100"/>
            <w:tcBorders>
              <w:top w:val="single" w:color="BBBBBB" w:sz="1"/>
              <w:left w:val="single" w:color="BBBBBB" w:sz="1"/>
              <w:bottom w:val="single" w:color="BBBBBB" w:sz="1"/>
              <w:right w:val="single" w:color="BBBBBB" w:sz="1"/>
            </w:tcBorders>
            <w:shd w:fill="3B1F5C"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데이터</w:t>
            </w:r>
          </w:p>
        </w:tc>
        <w:tc>
          <w:tcPr>
            <w:tcW w:type="dxa" w:w="3300"/>
            <w:tcBorders>
              <w:top w:val="single" w:color="BBBBBB" w:sz="1"/>
              <w:left w:val="single" w:color="BBBBBB" w:sz="1"/>
              <w:bottom w:val="single" w:color="BBBBBB" w:sz="1"/>
              <w:right w:val="single" w:color="BBBBBB" w:sz="1"/>
            </w:tcBorders>
            <w:shd w:fill="3B1F5C"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출처</w:t>
            </w:r>
          </w:p>
        </w:tc>
        <w:tc>
          <w:tcPr>
            <w:tcW w:type="dxa" w:w="2626"/>
            <w:tcBorders>
              <w:top w:val="single" w:color="BBBBBB" w:sz="1"/>
              <w:left w:val="single" w:color="BBBBBB" w:sz="1"/>
              <w:bottom w:val="single" w:color="BBBBBB" w:sz="1"/>
              <w:right w:val="single" w:color="BBBBBB" w:sz="1"/>
            </w:tcBorders>
            <w:shd w:fill="3B1F5C"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비고</w:t>
            </w:r>
          </w:p>
        </w:tc>
      </w:tr>
      <w:tr>
        <w:tc>
          <w:tcPr>
            <w:tcW w:type="dxa" w:w="3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투자자별 매매동향(종목·일별)</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pykrx (KRX 정보데이터시스템)</w:t>
            </w:r>
          </w:p>
        </w:tc>
        <w:tc>
          <w:tcPr>
            <w:tcW w:type="dxa" w:w="2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무료, 일별 배치 수집</w:t>
            </w:r>
          </w:p>
        </w:tc>
      </w:tr>
      <w:tr>
        <w:tc>
          <w:tcPr>
            <w:tcW w:type="dxa" w:w="3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공매도 거래·잔고</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pykrx 공매도 API (KRX)</w:t>
            </w:r>
          </w:p>
        </w:tc>
        <w:tc>
          <w:tcPr>
            <w:tcW w:type="dxa" w:w="2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공시 주기 확인 후 기준일 라벨 표기</w:t>
            </w:r>
          </w:p>
        </w:tc>
      </w:tr>
      <w:tr>
        <w:tc>
          <w:tcPr>
            <w:tcW w:type="dxa" w:w="3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외국인 보유율</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pykrx</w:t>
            </w:r>
          </w:p>
        </w:tc>
        <w:tc>
          <w:tcPr>
            <w:tcW w:type="dxa" w:w="2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확장 지표</w:t>
            </w:r>
          </w:p>
        </w:tc>
      </w:tr>
      <w:tr>
        <w:tc>
          <w:tcPr>
            <w:tcW w:type="dxa" w:w="3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(기존) 시세·재무·공시</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pykrx/FinanceDataReader, DART OpenAPI</w:t>
            </w:r>
          </w:p>
        </w:tc>
        <w:tc>
          <w:tcPr>
            <w:tcW w:type="dxa" w:w="2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트리플렌즈와 동일</w:t>
            </w:r>
          </w:p>
        </w:tc>
      </w:tr>
    </w:tbl>
    <w:p>
      <w:pPr>
        <w:spacing w:after="120"/>
      </w:pPr>
      <w:r>
        <w:rPr>
          <w:rFonts w:ascii="Malgun Gothic" w:cs="Malgun Gothic" w:eastAsia="Malgun Gothic" w:hAnsi="Malgun Gothic"/>
          <w:color w:val="3B1F5C"/>
          <w:sz w:val="20"/>
          <w:szCs w:val="20"/>
        </w:rPr>
        <w:t xml:space="preserve">핵심: 수급 데이터는 시세와 동일한 pykrx 소스라 수집 파이프라인에 테이블 하나를 추가하는 수준 — 아키텍처 변경 없이 렌즈 슬롯에 꽂힌다.</w:t>
      </w:r>
    </w:p>
    <w:p>
      <w:r>
        <w:br w:type="page"/>
      </w:r>
    </w:p>
    <w:p>
      <w:pPr>
        <w:pStyle w:val="Heading1"/>
      </w:pPr>
      <w:r>
        <w:t xml:space="preserve">3. 기능 범위와 아키텍처 (개정)</w:t>
      </w:r>
    </w:p>
    <w:p>
      <w:pPr>
        <w:pStyle w:val="Heading2"/>
      </w:pPr>
      <w:r>
        <w:t xml:space="preserve">3.1 기능 범위 — MVP 먼저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2626"/>
      </w:tblGrid>
      <w:tr>
        <w:tc>
          <w:tcPr>
            <w:tcW w:type="dxa" w:w="1400"/>
            <w:tcBorders>
              <w:top w:val="single" w:color="BBBBBB" w:sz="1"/>
              <w:left w:val="single" w:color="BBBBBB" w:sz="1"/>
              <w:bottom w:val="single" w:color="BBBBBB" w:sz="1"/>
              <w:right w:val="single" w:color="BBBBBB" w:sz="1"/>
            </w:tcBorders>
            <w:shd w:fill="3B1F5C"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구분</w:t>
            </w:r>
          </w:p>
        </w:tc>
        <w:tc>
          <w:tcPr>
            <w:tcW w:type="dxa" w:w="5000"/>
            <w:tcBorders>
              <w:top w:val="single" w:color="BBBBBB" w:sz="1"/>
              <w:left w:val="single" w:color="BBBBBB" w:sz="1"/>
              <w:bottom w:val="single" w:color="BBBBBB" w:sz="1"/>
              <w:right w:val="single" w:color="BBBBBB" w:sz="1"/>
            </w:tcBorders>
            <w:shd w:fill="3B1F5C"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기능</w:t>
            </w:r>
          </w:p>
        </w:tc>
        <w:tc>
          <w:tcPr>
            <w:tcW w:type="dxa" w:w="2626"/>
            <w:tcBorders>
              <w:top w:val="single" w:color="BBBBBB" w:sz="1"/>
              <w:left w:val="single" w:color="BBBBBB" w:sz="1"/>
              <w:bottom w:val="single" w:color="BBBBBB" w:sz="1"/>
              <w:right w:val="single" w:color="BBBBBB" w:sz="1"/>
            </w:tcBorders>
            <w:shd w:fill="3B1F5C"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구현 시점</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MVP-1</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데이터 파이프라인: KOSPI200 시세·수급·재무·공시 배치 수집/적재 + 종목 검색·캔들+수급 차트</w:t>
            </w:r>
          </w:p>
        </w:tc>
        <w:tc>
          <w:tcPr>
            <w:tcW w:type="dxa" w:w="2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스프린트 1</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MVP-2</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V·T·S 3개 룰 엔진 + 시그널 백테스트 + 스코어카드(4축 레이더) UI</w:t>
            </w:r>
          </w:p>
        </w:tc>
        <w:tc>
          <w:tcPr>
            <w:tcW w:type="dxa" w:w="2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스프린트 2</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MVP-3</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R렌즈(공시·뉴스 LLM 분류) + 조합 패턴 판정(가치함정 등 5종) + LLM 통합 리포트 + 용어 RAG</w:t>
            </w:r>
          </w:p>
        </w:tc>
        <w:tc>
          <w:tcPr>
            <w:tcW w:type="dxa" w:w="2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스프린트 3</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확장-1</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회원 인증 + 워치리스트 + 진단 이력</w:t>
            </w:r>
          </w:p>
        </w:tc>
        <w:tc>
          <w:tcPr>
            <w:tcW w:type="dxa" w:w="2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스프린트 4</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확장-2</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M6 산출물 탑재: 전 종목×10년 기술+수급 시그널 신뢰도 테이블</w:t>
            </w:r>
          </w:p>
        </w:tc>
        <w:tc>
          <w:tcPr>
            <w:tcW w:type="dxa" w:w="2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스프린트 4</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확장-3</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수급 이벤트 알림(외국인 연속 순매수 감지 등), 페이퍼트레이딩 저널</w:t>
            </w:r>
          </w:p>
        </w:tc>
        <w:tc>
          <w:tcPr>
            <w:tcW w:type="dxa" w:w="2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여유 시</w:t>
            </w:r>
          </w:p>
        </w:tc>
      </w:tr>
    </w:tbl>
    <w:p>
      <w:pPr>
        <w:pStyle w:val="Heading2"/>
      </w:pPr>
      <w:r>
        <w:t xml:space="preserve">3.2 범위 한정 (5주 완성의 조건)</w:t>
      </w:r>
    </w:p>
    <w:p>
      <w:pPr>
        <w:pStyle w:val="ListParagraph"/>
        <w:numPr>
          <w:ilvl w:val="0"/>
          <w:numId w:val="2"/>
        </w:numPr>
        <w:spacing w:after="80"/>
      </w:pPr>
      <w:r>
        <w:rPr>
          <w:rFonts w:ascii="Malgun Gothic" w:cs="Malgun Gothic" w:eastAsia="Malgun Gothic" w:hAnsi="Malgun Gothic"/>
          <w:b/>
          <w:bCs/>
          <w:sz w:val="20"/>
          <w:szCs w:val="20"/>
        </w:rPr>
        <w:t xml:space="preserve">유니버스·주기: </w:t>
      </w:r>
      <w:r>
        <w:rPr>
          <w:rFonts w:ascii="Malgun Gothic" w:cs="Malgun Gothic" w:eastAsia="Malgun Gothic" w:hAnsi="Malgun Gothic"/>
          <w:sz w:val="20"/>
          <w:szCs w:val="20"/>
        </w:rPr>
        <w:t xml:space="preserve">KOSPI200 × 일봉·일별 수급, 장 마감 후 배치. 실시간·틱·세부 기관 분해는 제외.</w:t>
      </w:r>
    </w:p>
    <w:p>
      <w:pPr>
        <w:pStyle w:val="ListParagraph"/>
        <w:numPr>
          <w:ilvl w:val="0"/>
          <w:numId w:val="2"/>
        </w:numPr>
        <w:spacing w:after="80"/>
      </w:pPr>
      <w:r>
        <w:rPr>
          <w:rFonts w:ascii="Malgun Gothic" w:cs="Malgun Gothic" w:eastAsia="Malgun Gothic" w:hAnsi="Malgun Gothic"/>
          <w:b/>
          <w:bCs/>
          <w:sz w:val="20"/>
          <w:szCs w:val="20"/>
        </w:rPr>
        <w:t xml:space="preserve">지표 수 고정: </w:t>
      </w:r>
      <w:r>
        <w:rPr>
          <w:rFonts w:ascii="Malgun Gothic" w:cs="Malgun Gothic" w:eastAsia="Malgun Gothic" w:hAnsi="Malgun Gothic"/>
          <w:sz w:val="20"/>
          <w:szCs w:val="20"/>
        </w:rPr>
        <w:t xml:space="preserve">렌즈당 4개 × 4렌즈 = 16개에서 동결. 지표 추가는 배포 후에만 — 4렌즈 확장으로 늘어난 작업량은 지표 동결로 상쇄.</w:t>
      </w:r>
    </w:p>
    <w:p>
      <w:pPr>
        <w:pStyle w:val="Heading2"/>
      </w:pPr>
      <w:r>
        <w:t xml:space="preserve">3.3 기술 스택 (커리큘럼 매핑 — 변경분만)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c>
          <w:tcPr>
            <w:tcW w:type="dxa" w:w="1800"/>
            <w:tcBorders>
              <w:top w:val="single" w:color="BBBBBB" w:sz="1"/>
              <w:left w:val="single" w:color="BBBBBB" w:sz="1"/>
              <w:bottom w:val="single" w:color="BBBBBB" w:sz="1"/>
              <w:right w:val="single" w:color="BBBBBB" w:sz="1"/>
            </w:tcBorders>
            <w:shd w:fill="3B1F5C"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계층</w:t>
            </w:r>
          </w:p>
        </w:tc>
        <w:tc>
          <w:tcPr>
            <w:tcW w:type="dxa" w:w="3400"/>
            <w:tcBorders>
              <w:top w:val="single" w:color="BBBBBB" w:sz="1"/>
              <w:left w:val="single" w:color="BBBBBB" w:sz="1"/>
              <w:bottom w:val="single" w:color="BBBBBB" w:sz="1"/>
              <w:right w:val="single" w:color="BBBBBB" w:sz="1"/>
            </w:tcBorders>
            <w:shd w:fill="3B1F5C"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기술</w:t>
            </w:r>
          </w:p>
        </w:tc>
        <w:tc>
          <w:tcPr>
            <w:tcW w:type="dxa" w:w="3826"/>
            <w:tcBorders>
              <w:top w:val="single" w:color="BBBBBB" w:sz="1"/>
              <w:left w:val="single" w:color="BBBBBB" w:sz="1"/>
              <w:bottom w:val="single" w:color="BBBBBB" w:sz="1"/>
              <w:right w:val="single" w:color="BBBBBB" w:sz="1"/>
            </w:tcBorders>
            <w:shd w:fill="3B1F5C"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습득 모듈</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수급 수집</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pykrx 투자자별·공매도 배치 수집 → 수급 테이블 적재</w:t>
            </w:r>
          </w:p>
        </w:tc>
        <w:tc>
          <w:tcPr>
            <w:tcW w:type="dxa" w:w="38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M1·M6</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S렌즈 룰 엔진</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강도 정규화·연속성 감지·조합 패턴 룰(Python)</w:t>
            </w:r>
          </w:p>
        </w:tc>
        <w:tc>
          <w:tcPr>
            <w:tcW w:type="dxa" w:w="38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M3</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조합 해석</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4렌즈 결과 → 패턴 매칭 → LLM 프롬프트에 패턴+수치 주입</w:t>
            </w:r>
          </w:p>
        </w:tc>
        <w:tc>
          <w:tcPr>
            <w:tcW w:type="dxa" w:w="38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M4</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(기존 유지)</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Django·Chart.js·DART·FAISS RAG·클라우드 배포</w:t>
            </w:r>
          </w:p>
        </w:tc>
        <w:tc>
          <w:tcPr>
            <w:tcW w:type="dxa" w:w="38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M2·M4·M8</w:t>
            </w:r>
          </w:p>
        </w:tc>
      </w:tr>
    </w:tbl>
    <w:p>
      <w:pPr>
        <w:spacing w:after="120"/>
      </w:pPr>
      <w:r>
        <w:rPr>
          <w:rFonts w:ascii="Malgun Gothic" w:cs="Malgun Gothic" w:eastAsia="Malgun Gothic" w:hAnsi="Malgun Gothic"/>
          <w:color w:val="3B1F5C"/>
          <w:sz w:val="20"/>
          <w:szCs w:val="20"/>
        </w:rPr>
        <w:t xml:space="preserve">처리 흐름: [배치] 시세+수급+재무+공시 수집 → 지표·시그널·백테스트·조합패턴 사전 계산 → [요청 시] 4렌즈 판정 로드 → LLM이 점수·패턴·근거 수치를 인용해 통합 리포트 생성(캐싱) → 4축 레이더+캔들·수급 차트+리포트 렌더링.</w:t>
      </w:r>
    </w:p>
    <w:p>
      <w:r>
        <w:br w:type="page"/>
      </w:r>
    </w:p>
    <w:p>
      <w:pPr>
        <w:pStyle w:val="Heading1"/>
      </w:pPr>
      <w:r>
        <w:t xml:space="preserve">4. 개발 방법 (개정)</w:t>
      </w:r>
    </w:p>
    <w:p>
      <w:pPr>
        <w:pStyle w:val="Heading2"/>
      </w:pPr>
      <w:r>
        <w:t xml:space="preserve">4.1 모듈별 부품 축적 (지금부터)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5726"/>
      </w:tblGrid>
      <w:tr>
        <w:tc>
          <w:tcPr>
            <w:tcW w:type="dxa" w:w="1500"/>
            <w:tcBorders>
              <w:top w:val="single" w:color="BBBBBB" w:sz="1"/>
              <w:left w:val="single" w:color="BBBBBB" w:sz="1"/>
              <w:bottom w:val="single" w:color="BBBBBB" w:sz="1"/>
              <w:right w:val="single" w:color="BBBBBB" w:sz="1"/>
            </w:tcBorders>
            <w:shd w:fill="3B1F5C"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모듈</w:t>
            </w:r>
          </w:p>
        </w:tc>
        <w:tc>
          <w:tcPr>
            <w:tcW w:type="dxa" w:w="1800"/>
            <w:tcBorders>
              <w:top w:val="single" w:color="BBBBBB" w:sz="1"/>
              <w:left w:val="single" w:color="BBBBBB" w:sz="1"/>
              <w:bottom w:val="single" w:color="BBBBBB" w:sz="1"/>
              <w:right w:val="single" w:color="BBBBBB" w:sz="1"/>
            </w:tcBorders>
            <w:shd w:fill="3B1F5C"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시기</w:t>
            </w:r>
          </w:p>
        </w:tc>
        <w:tc>
          <w:tcPr>
            <w:tcW w:type="dxa" w:w="5726"/>
            <w:tcBorders>
              <w:top w:val="single" w:color="BBBBBB" w:sz="1"/>
              <w:left w:val="single" w:color="BBBBBB" w:sz="1"/>
              <w:bottom w:val="single" w:color="BBBBBB" w:sz="1"/>
              <w:right w:val="single" w:color="BBBBBB" w:sz="1"/>
            </w:tcBorders>
            <w:shd w:fill="3B1F5C"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캡스톤용 부품</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M1 데이터분석</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지금(~7/10)</w:t>
            </w:r>
          </w:p>
        </w:tc>
        <w:tc>
          <w:tcPr>
            <w:tcW w:type="dxa" w:w="5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pykrx로 종목 5개 시세+투자자별 순매수 EDA — 가격·수급 괴리 시각화(S렌즈 기초 겸 발표 재료)</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M2 웹개발</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7/13~8/10</w:t>
            </w:r>
          </w:p>
        </w:tc>
        <w:tc>
          <w:tcPr>
            <w:tcW w:type="dxa" w:w="5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워치리스트 CRUD + 회원 인증으로 과제 변형 — 캡스톤 뼈대</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M3 AI모델링</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8/11~8/31</w:t>
            </w:r>
          </w:p>
        </w:tc>
        <w:tc>
          <w:tcPr>
            <w:tcW w:type="dxa" w:w="5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백테스트 프레임 제작: 기술 시그널 + 수급 이벤트(연속 순매수) 성과 검증</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M4 생성형AI</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9/1~9/10</w:t>
            </w:r>
          </w:p>
        </w:tc>
        <w:tc>
          <w:tcPr>
            <w:tcW w:type="dxa" w:w="5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미니앱 = DART 공시 LLM 호악재 분류기(R렌즈 예행연습) + 프롬프트 A/B 기록</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M5 PM방법론</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9/11~9/22</w:t>
            </w:r>
          </w:p>
        </w:tc>
        <w:tc>
          <w:tcPr>
            <w:tcW w:type="dxa" w:w="5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본 계획서를 백로그·WBS로 전환, 렌즈별 완료 기준(DoD) 정의</w:t>
            </w:r>
          </w:p>
        </w:tc>
      </w:tr>
      <w:tr>
        <w:tc>
          <w:tcPr>
            <w:tcW w:type="dxa" w:w="1500"/>
            <w:tcBorders>
              <w:top w:val="single" w:color="BBBBBB" w:sz="1"/>
              <w:left w:val="single" w:color="BBBBBB" w:sz="1"/>
              <w:bottom w:val="single" w:color="BBBBBB" w:sz="1"/>
              <w:right w:val="single" w:color="BBBBBB" w:sz="1"/>
            </w:tcBorders>
            <w:shd w:fill="E8E2F0" w:val="clear"/>
            <w:tcMar>
              <w:top w:type="dxa" w:w="60"/>
              <w:left w:type="dxa" w:w="100"/>
              <w:bottom w:type="dxa" w:w="60"/>
              <w:right w:type="dxa" w:w="100"/>
            </w:tcMar>
          </w:tcPr>
          <w:p>
            <w:pPr>
              <w:spacing w:after="0"/>
            </w:pPr>
            <w:r>
              <w:rPr>
                <w:rFonts w:ascii="Malgun Gothic" w:cs="Malgun Gothic" w:eastAsia="Malgun Gothic" w:hAnsi="Malgun Gothic"/>
                <w:b/>
                <w:bCs/>
                <w:sz w:val="18"/>
                <w:szCs w:val="18"/>
              </w:rPr>
              <w:t xml:space="preserve">★ M6 빅데이터</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9/23~10/13</w:t>
            </w:r>
          </w:p>
        </w:tc>
        <w:tc>
          <w:tcPr>
            <w:tcW w:type="dxa" w:w="5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'KOSPI200 × 10년 기술+수급 시그널 대규모 백테스팅' — 수급 팩터(외국인/기관 순매수)의 초과수익 검증까지 포함하면 데이터 포트폴리오 가치 상승</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M8 캡스톤</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10/14~11/19</w:t>
            </w:r>
          </w:p>
        </w:tc>
        <w:tc>
          <w:tcPr>
            <w:tcW w:type="dxa" w:w="5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4렌즈 조립 + 조합 해석 + 배포·발표</w:t>
            </w:r>
          </w:p>
        </w:tc>
      </w:tr>
    </w:tbl>
    <w:p>
      <w:pPr>
        <w:pStyle w:val="Heading2"/>
      </w:pPr>
      <w:r>
        <w:t xml:space="preserve">4.2 M8 5주 스프린트 (개정)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3300"/>
        <w:gridCol w:w="2726"/>
      </w:tblGrid>
      <w:tr>
        <w:tc>
          <w:tcPr>
            <w:tcW w:type="dxa" w:w="1100"/>
            <w:tcBorders>
              <w:top w:val="single" w:color="BBBBBB" w:sz="1"/>
              <w:left w:val="single" w:color="BBBBBB" w:sz="1"/>
              <w:bottom w:val="single" w:color="BBBBBB" w:sz="1"/>
              <w:right w:val="single" w:color="BBBBBB" w:sz="1"/>
            </w:tcBorders>
            <w:shd w:fill="3B1F5C"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주차</w:t>
            </w:r>
          </w:p>
        </w:tc>
        <w:tc>
          <w:tcPr>
            <w:tcW w:type="dxa" w:w="1900"/>
            <w:tcBorders>
              <w:top w:val="single" w:color="BBBBBB" w:sz="1"/>
              <w:left w:val="single" w:color="BBBBBB" w:sz="1"/>
              <w:bottom w:val="single" w:color="BBBBBB" w:sz="1"/>
              <w:right w:val="single" w:color="BBBBBB" w:sz="1"/>
            </w:tcBorders>
            <w:shd w:fill="3B1F5C"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기간</w:t>
            </w:r>
          </w:p>
        </w:tc>
        <w:tc>
          <w:tcPr>
            <w:tcW w:type="dxa" w:w="3300"/>
            <w:tcBorders>
              <w:top w:val="single" w:color="BBBBBB" w:sz="1"/>
              <w:left w:val="single" w:color="BBBBBB" w:sz="1"/>
              <w:bottom w:val="single" w:color="BBBBBB" w:sz="1"/>
              <w:right w:val="single" w:color="BBBBBB" w:sz="1"/>
            </w:tcBorders>
            <w:shd w:fill="3B1F5C"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목표</w:t>
            </w:r>
          </w:p>
        </w:tc>
        <w:tc>
          <w:tcPr>
            <w:tcW w:type="dxa" w:w="2726"/>
            <w:tcBorders>
              <w:top w:val="single" w:color="BBBBBB" w:sz="1"/>
              <w:left w:val="single" w:color="BBBBBB" w:sz="1"/>
              <w:bottom w:val="single" w:color="BBBBBB" w:sz="1"/>
              <w:right w:val="single" w:color="BBBBBB" w:sz="1"/>
            </w:tcBorders>
            <w:shd w:fill="3B1F5C"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금요일 데모</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S1</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10/14~10/23</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배치 파이프라인(시세+수급+재무+공시) + 종목 검색·캔들+수급 서브차트</w:t>
            </w:r>
          </w:p>
        </w:tc>
        <w:tc>
          <w:tcPr>
            <w:tcW w:type="dxa" w:w="2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종목 치면 가격·수급 차트가 뜬다</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S2</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10/26~10/30</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룰 렌즈 3개(V·T·S) + 백테스트 + 4축 스코어카드 (백테스트 프레임은 M3·M6 재사용 — 조립만)</w:t>
            </w:r>
          </w:p>
        </w:tc>
        <w:tc>
          <w:tcPr>
            <w:tcW w:type="dxa" w:w="2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세 렌즈 판정·신뢰도 표시</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S3</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11/2~11/6</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R렌즈 LLM 분류 + 조합 패턴 5종 + LLM 통합 리포트 + 용어 RAG</w:t>
            </w:r>
          </w:p>
        </w:tc>
        <w:tc>
          <w:tcPr>
            <w:tcW w:type="dxa" w:w="2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가치함정 경고 포함 4렌즈 AI 리포트</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S4</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11/9~11/13</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인증·워치리스트·이력 + M6 신뢰도 테이블 탑재 + 배포·비용 점검</w:t>
            </w:r>
          </w:p>
        </w:tc>
        <w:tc>
          <w:tcPr>
            <w:tcW w:type="dxa" w:w="2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실제 URL 접속 시연</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S5</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11/16~11/19</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UX 폴리싱 + 발표자료·조합 사례 데모 리허설</w:t>
            </w:r>
          </w:p>
        </w:tc>
        <w:tc>
          <w:tcPr>
            <w:tcW w:type="dxa" w:w="2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최종 발표</w:t>
            </w:r>
          </w:p>
        </w:tc>
      </w:tr>
    </w:tbl>
    <w:p>
      <w:pPr>
        <w:pStyle w:val="Heading2"/>
      </w:pPr>
      <w:r>
        <w:t xml:space="preserve">4.3 평가 기준 대응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626"/>
      </w:tblGrid>
      <w:tr>
        <w:tc>
          <w:tcPr>
            <w:tcW w:type="dxa" w:w="2400"/>
            <w:tcBorders>
              <w:top w:val="single" w:color="BBBBBB" w:sz="1"/>
              <w:left w:val="single" w:color="BBBBBB" w:sz="1"/>
              <w:bottom w:val="single" w:color="BBBBBB" w:sz="1"/>
              <w:right w:val="single" w:color="BBBBBB" w:sz="1"/>
            </w:tcBorders>
            <w:shd w:fill="3B1F5C"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평가항목</w:t>
            </w:r>
          </w:p>
        </w:tc>
        <w:tc>
          <w:tcPr>
            <w:tcW w:type="dxa" w:w="1000"/>
            <w:tcBorders>
              <w:top w:val="single" w:color="BBBBBB" w:sz="1"/>
              <w:left w:val="single" w:color="BBBBBB" w:sz="1"/>
              <w:bottom w:val="single" w:color="BBBBBB" w:sz="1"/>
              <w:right w:val="single" w:color="BBBBBB" w:sz="1"/>
            </w:tcBorders>
            <w:shd w:fill="3B1F5C"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비중</w:t>
            </w:r>
          </w:p>
        </w:tc>
        <w:tc>
          <w:tcPr>
            <w:tcW w:type="dxa" w:w="5626"/>
            <w:tcBorders>
              <w:top w:val="single" w:color="BBBBBB" w:sz="1"/>
              <w:left w:val="single" w:color="BBBBBB" w:sz="1"/>
              <w:bottom w:val="single" w:color="BBBBBB" w:sz="1"/>
              <w:right w:val="single" w:color="BBBBBB" w:sz="1"/>
            </w:tcBorders>
            <w:shd w:fill="3B1F5C"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대응</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기획 논리</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15%</w:t>
            </w:r>
          </w:p>
        </w:tc>
        <w:tc>
          <w:tcPr>
            <w:tcW w:type="dxa" w:w="5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'가격·가치·재료·수급' 4축 완결 프레임 + 가치함정 탐지라는 명확한 사용자 가치</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기능 완성도</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35%</w:t>
            </w:r>
          </w:p>
        </w:tc>
        <w:tc>
          <w:tcPr>
            <w:tcW w:type="dxa" w:w="5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룰 렌즈 3개는 동일 패턴 반복이라 개발 효율↑, 지표 16개 동결로 범위 통제</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생성형 AI 활용도</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20%</w:t>
            </w:r>
          </w:p>
        </w:tc>
        <w:tc>
          <w:tcPr>
            <w:tcW w:type="dxa" w:w="5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LLM 3용도(분류·통역·RAG) + 조합 패턴 해석 — 상충하는 4렌즈를 서사로 엮는 것은 LLM만 가능한 역할</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배포/완성도</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15%</w:t>
            </w:r>
          </w:p>
        </w:tc>
        <w:tc>
          <w:tcPr>
            <w:tcW w:type="dxa" w:w="5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배치 사전 계산+캐싱으로 데모 안정성 확보</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발표</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15%</w:t>
            </w:r>
          </w:p>
        </w:tc>
        <w:tc>
          <w:tcPr>
            <w:tcW w:type="dxa" w:w="5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심사위원 지정 종목 즉석 진단 + '저평가인데 외국인 이탈' 가치함정 사례 시연</w:t>
            </w:r>
          </w:p>
        </w:tc>
      </w:tr>
    </w:tbl>
    <w:p>
      <w:pPr>
        <w:pStyle w:val="Heading2"/>
      </w:pPr>
      <w:r>
        <w:t xml:space="preserve">4.4 리스크 및 대응 (개정분)</w:t>
      </w:r>
    </w:p>
    <w:p>
      <w:pPr>
        <w:pStyle w:val="ListParagraph"/>
        <w:numPr>
          <w:ilvl w:val="0"/>
          <w:numId w:val="2"/>
        </w:numPr>
        <w:spacing w:after="80"/>
      </w:pPr>
      <w:r>
        <w:rPr>
          <w:rFonts w:ascii="Malgun Gothic" w:cs="Malgun Gothic" w:eastAsia="Malgun Gothic" w:hAnsi="Malgun Gothic"/>
          <w:b/>
          <w:bCs/>
          <w:sz w:val="20"/>
          <w:szCs w:val="20"/>
        </w:rPr>
        <w:t xml:space="preserve">범위 증가(4렌즈): </w:t>
      </w:r>
      <w:r>
        <w:rPr>
          <w:rFonts w:ascii="Malgun Gothic" w:cs="Malgun Gothic" w:eastAsia="Malgun Gothic" w:hAnsi="Malgun Gothic"/>
          <w:sz w:val="20"/>
          <w:szCs w:val="20"/>
        </w:rPr>
        <w:t xml:space="preserve">S렌즈는 T렌즈와 데이터 소스·룰 패턴·백테스트 프레임을 공유해 증분 비용 최소. 그래도 밀리면 공매도 지표를 확장으로 강등하는 축소 순서를 사전 정의.</w:t>
      </w:r>
    </w:p>
    <w:p>
      <w:pPr>
        <w:pStyle w:val="ListParagraph"/>
        <w:numPr>
          <w:ilvl w:val="0"/>
          <w:numId w:val="2"/>
        </w:numPr>
        <w:spacing w:after="80"/>
      </w:pPr>
      <w:r>
        <w:rPr>
          <w:rFonts w:ascii="Malgun Gothic" w:cs="Malgun Gothic" w:eastAsia="Malgun Gothic" w:hAnsi="Malgun Gothic"/>
          <w:b/>
          <w:bCs/>
          <w:sz w:val="20"/>
          <w:szCs w:val="20"/>
        </w:rPr>
        <w:t xml:space="preserve">수급 데이터 특성: </w:t>
      </w:r>
      <w:r>
        <w:rPr>
          <w:rFonts w:ascii="Malgun Gothic" w:cs="Malgun Gothic" w:eastAsia="Malgun Gothic" w:hAnsi="Malgun Gothic"/>
          <w:sz w:val="20"/>
          <w:szCs w:val="20"/>
        </w:rPr>
        <w:t xml:space="preserve">투자자별 매매동향은 일별 확정치(장중 미제공), 공매도 잔고는 공시 주기 지연 존재 — 모든 수급 지표에 기준일 라벨을 붙여 정직하게 노출.</w:t>
      </w:r>
    </w:p>
    <w:p>
      <w:pPr>
        <w:pStyle w:val="ListParagraph"/>
        <w:numPr>
          <w:ilvl w:val="0"/>
          <w:numId w:val="2"/>
        </w:numPr>
        <w:spacing w:after="80"/>
      </w:pPr>
      <w:r>
        <w:rPr>
          <w:rFonts w:ascii="Malgun Gothic" w:cs="Malgun Gothic" w:eastAsia="Malgun Gothic" w:hAnsi="Malgun Gothic"/>
          <w:b/>
          <w:bCs/>
          <w:sz w:val="20"/>
          <w:szCs w:val="20"/>
        </w:rPr>
        <w:t xml:space="preserve">조합 패턴 과신: </w:t>
      </w:r>
      <w:r>
        <w:rPr>
          <w:rFonts w:ascii="Malgun Gothic" w:cs="Malgun Gothic" w:eastAsia="Malgun Gothic" w:hAnsi="Malgun Gothic"/>
          <w:sz w:val="20"/>
          <w:szCs w:val="20"/>
        </w:rPr>
        <w:t xml:space="preserve">패턴은 '경고·참고 정보'로만 표기하고 백테스트 근거를 병기 — 통계적 규칙이지 예언이 아님을 UI 문구로 고정.</w:t>
      </w:r>
    </w:p>
    <w:p>
      <w:pPr>
        <w:pStyle w:val="ListParagraph"/>
        <w:numPr>
          <w:ilvl w:val="0"/>
          <w:numId w:val="2"/>
        </w:numPr>
        <w:spacing w:after="80"/>
      </w:pPr>
      <w:r>
        <w:rPr>
          <w:rFonts w:ascii="Malgun Gothic" w:cs="Malgun Gothic" w:eastAsia="Malgun Gothic" w:hAnsi="Malgun Gothic"/>
          <w:b/>
          <w:bCs/>
          <w:sz w:val="20"/>
          <w:szCs w:val="20"/>
        </w:rPr>
        <w:t xml:space="preserve">(유지) 무료 API 한도·LLM 비용·투자자문 오해: </w:t>
      </w:r>
      <w:r>
        <w:rPr>
          <w:rFonts w:ascii="Malgun Gothic" w:cs="Malgun Gothic" w:eastAsia="Malgun Gothic" w:hAnsi="Malgun Gothic"/>
          <w:sz w:val="20"/>
          <w:szCs w:val="20"/>
        </w:rPr>
        <w:t xml:space="preserve">배치+캐싱, 리포트 캐싱, 전 화면 고지 — 트리플렌즈와 동일.</w:t>
      </w:r>
    </w:p>
    <w:p>
      <w:pPr>
        <w:spacing w:after="120"/>
      </w:pPr>
      <w:r>
        <w:rPr>
          <w:rFonts w:ascii="Malgun Gothic" w:cs="Malgun Gothic" w:eastAsia="Malgun Gothic" w:hAnsi="Malgun Gothic"/>
          <w:sz w:val="20"/>
          <w:szCs w:val="20"/>
        </w:rPr>
        <w:t xml:space="preserve"/>
      </w:r>
    </w:p>
    <w:p>
      <w:pPr>
        <w:spacing w:after="120"/>
      </w:pPr>
      <w:r>
        <w:rPr>
          <w:rFonts w:ascii="Malgun Gothic" w:cs="Malgun Gothic" w:eastAsia="Malgun Gothic" w:hAnsi="Malgun Gothic"/>
          <w:b/>
          <w:bCs/>
          <w:sz w:val="22"/>
          <w:szCs w:val="22"/>
        </w:rPr>
        <w:t xml:space="preserve">한 줄 결론: 쿼드렌즈는 '무슨 일이 있나(R)·싼가(V)·추세는(T)·누가 사나(S)'라는 투자 판단의 4대 질문을 하나의 화이트박스 스테이션에 통합한다. 수급 렌즈가 추가되는 순간 가치함정 경고가 가능해지고 — 판단은 룰·백테스트가, 통역은 LLM이 맡는 구조 위에서, M6 엔진과 M8 조립으로 5주 안에 완성한다.</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Malgun Gothic" w:cs="Malgun Gothic" w:eastAsia="Malgun Gothic" w:hAnsi="Malgun Gothic"/>
      <w:b/>
      <w:bCs/>
      <w:color w:val="3B1F5C"/>
      <w:sz w:val="30"/>
      <w:szCs w:val="30"/>
    </w:rPr>
  </w:style>
  <w:style w:type="paragraph" w:styleId="Heading2">
    <w:name w:val="Heading 2"/>
    <w:basedOn w:val="Normal"/>
    <w:next w:val="Normal"/>
    <w:qFormat/>
    <w:pPr>
      <w:spacing w:after="120" w:before="200"/>
      <w:outlineLvl w:val="1"/>
    </w:pPr>
    <w:rPr>
      <w:rFonts w:ascii="Malgun Gothic" w:cs="Malgun Gothic" w:eastAsia="Malgun Gothic" w:hAnsi="Malgun Gothic"/>
      <w:b/>
      <w:bCs/>
      <w:color w:val="5C3B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2026-07-08T00:57:22.552Z</dcterms:created>
  <dcterms:modified xsi:type="dcterms:W3CDTF">2026-07-08T00:57:22.553Z</dcterms:modified>
</cp:coreProperties>
</file>

<file path=docProps/custom.xml><?xml version="1.0" encoding="utf-8"?>
<Properties xmlns="http://schemas.openxmlformats.org/officeDocument/2006/custom-properties" xmlns:vt="http://schemas.openxmlformats.org/officeDocument/2006/docPropsVTypes"/>
</file>