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BC9C"/>
          <w:spacing w:val="120"/>
          <w:sz w:val="28"/>
          <w:szCs w:val="28"/>
        </w:rPr>
        <w:t xml:space="preserve">SEMANTIC GRAVITY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Unified Risk Intelligence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899AA"/>
          <w:sz w:val="32"/>
          <w:szCs w:val="32"/>
        </w:rPr>
        <w:t xml:space="preserve">Solution Blueprint v1.0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Prepared for: Royal Enfield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Prepared by: Semantic Gravity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Date: April 2026  |  Classification: Confidential</w:t>
      </w:r>
    </w:p>
    <w:p>
      <w:pPr>
        <w:spacing w:before="6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Executive Summary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Royal Enfield currently manages cybersecurity risk across 9 disparate sources — all manually consolidated into an Excel risk register. This blueprint proposes a Unified Risk Intelligence Platform (URIP) that aggregates all risk feeds, applies exploitability-first prioritization using CVSS v4.0, automates assignment and tracking, and delivers a single dashboard for CISO, IT, and executive stakeholders.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platform does not replace existing security tools. It acts as an orchestration and intelligence layer on top of the existing stack.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NUMBERS — ROYAL ENFIELD ENVIRONMENT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Endpoints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7,000 (User machines + Servers)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Tool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CrowdStrike, Forescout NAC, Cisco ISE, CyberArk PAM, Zscaler ZTA/ZIA/CASB, Fortiguard, Google Workspace, Armis (OT)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 — Spotlight, EASM, CNAPP, OT (Armis), VAPT, Threat Intel, CERT-In, Bug Bounty, SoC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Scoring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CVSS v4.0 (Critical 9-10, High 7-8.9, Medium 4-6.9, Low 0.1-3.9)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Manual Excel risk register — no SLA, no auto-assignment, no remediation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Discovered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6.4M vulnerabilities at start → 1.9M after prioritization in 2 months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Problem Statement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pain points have been identified in the current state: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#1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 risk sources feeding into separate consoles with no unified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Security teams waste hours consolidating data manually each 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#2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risks manually entered into Excel — no SLA, no auto-assignment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SPOCs take their own time. No escalation. No accountability.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#3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Risk accepted by HoD — no recommendation given, still counts in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Board reports inflated. Accepted risk not differentiated from open risk.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#4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Low-impact vulnerabilities fixed first — Zero-Days and Critical exploits wait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Resources wasted on noise. Front door open to active attackers.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Proposed Solution — URIP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Unified Risk Intelligence Platform (URIP) by Semantic Gravity is an orchestration layer that connects all 9 risk sources, applies CVSS v4.0-based exploitability scoring, auto-assigns findings to owners, tracks remediation with SLA enforcement, and produces clean, board-ready reports.</w:t>
      </w:r>
    </w:p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 Core Workflow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BC9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DETECT  →  AGGREGATE  →  PRIORITIZE  →  ASSIGN  →  REMEDIATE  →  REPORT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Pull live feeds from all 9 sources via API connectors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Normalize findings into unified risk schema — de-duplicate across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Apply CVSS v4.0 + exploitability intelligence — rank by actual attacker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Auto-assign to product owner / SPOC per domain — trigger SLA timer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Track patch, mitigate, or accept actions — integrate with Jira/ServiceNow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Generate CISO dashboard, executive summary, board report — accepted risks excluded</w:t>
            </w:r>
          </w:p>
        </w:tc>
      </w:tr>
    </w:tbl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 Risk Scoring Logic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vulnerabilities scored using CVSS v4.0. Exploitability intelligence layer overlaid to surface what attackers are actively targeting.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(Remediation)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9.0 – 10.0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Immediate escalation, auto-page CISO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7.0 – 8.9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Assign to owner, SLA alert at 5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4.0 – 6.9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Queue in sprint, track weekly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0.1 – 3.9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Batch fix or accept with 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 only, no action required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Integration Architecture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URIP connects to Royal Enfield's existing tool stack via read-only APIs and webhooks. No replacement of existing tools required.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 DATA SOURCE CONNECTORS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200"/>
        <w:gridCol w:w="2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(RE Stack)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Method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Spotlight (VM)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CrowdStrike Falcon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CVEs,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EASM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CrowdStrike / External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External attack surface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CNAPP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CrowdStrike 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Cloud misconfigs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OT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Armis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OT asset vulns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Armis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VAPT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External Vendor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Pentest findings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File Upload (PDF/Excel)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Threat 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External 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Active exploit intel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Feed /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CERT-In Advisories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CERT-In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Govt advisories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RSS / Manual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Bug Bounty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Internal/External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Researcher findings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Webhook / Upload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SoC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SIEM / SoC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Live incident alerts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SIEM API / Webhook</w:t>
            </w:r>
          </w:p>
        </w:tc>
      </w:tr>
    </w:tbl>
    <w:p>
      <w:pPr>
        <w:spacing w:before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 Additional Tool Integration</w:t>
      </w: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tools in Royal Enfield's environment are also connectable for enriched context: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Forescout NAC / Cisco 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Network device visibility, rogue device alerts — connectable via syslog/API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CyberArk PAM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Privileged account risk context — flag vulnerabilities on privileged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Zscaler ZTA / ZIA / CASB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Cloud access and policy violations — CASB alerts as risk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Fortiguard Firewall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Firewall log anomalies and threat events — syslog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security alerts (phishing, BEC) — API integration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Portal Modules</w:t>
      </w:r>
    </w:p>
    <w:p>
      <w:pPr>
        <w:pBdr>
          <w:bottom w:val="single" w:color="1ABC9C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 Risk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Org-level risk score (aggregated CVSS across all sources)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Breakdown by domain: Endpoint, Cloud, Network, Application, Identity, 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Trend chart: Risk posture over time (weekly/monthly)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Critical &amp; High count with SLA breach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Role-based views: CISO view, IT team view, Executive/Board view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 Risk Register (Replaces Excel)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Auto-populated from all 9 source connectors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Columns: ID, Title, Source, CVSS Score, Severity, Domain, Asset, Owner, Status, SLA Due, 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Filter by severity, domain, source, owner,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Bulk assign, bulk status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audit trail per finding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 Risk Acceptance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Owner flags risk for acceptance → system auto-generates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Recommendation includes: compensating controls, monitoring requirements, re-review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HoD approves with digital sign-off — full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Accepted risks tagged — excluded from all dashboards and reports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Re-review reminder triggered at 90 days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 Remediation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SLA countdown per finding (Critical: 72hr, High: 7d, Medium: 30d, Low: 90d)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Jira/ServiceNow ticket auto-creation on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SPOC notified via email + Slack/Teams on assignment and SLA breach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Re-test tracking post-patch (VAPT re-test cycle)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Closure requires evidence upload (patch screenshot, config change proof)</w:t>
      </w:r>
    </w:p>
    <w:p>
      <w:pPr>
        <w:spacing w:before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 Reporting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Executive Summary: Top 10 risks, org score, trend, SLA compliance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CISO Report: Full register, source breakdown, owner accountability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Board Report: Risk posture score only — accepted risks excluded, clean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CERT-In Compliance Report: Advisories tracked, response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Export: PDF, Excel, PowerPoint</w:t>
      </w:r>
    </w:p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Demo — Sample Risk Register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following is a representative sample of how Royal Enfield's unified risk register will look in the portal. Data is illustrative for demo purposes.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700"/>
        <w:gridCol w:w="1000"/>
        <w:gridCol w:w="15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Unpatched RCE in Public Web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VAPT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9.8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App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CrowdStrike: Log4j on 3 Servers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Spotlight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9.0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Infra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Armis: Unencrypted OT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OT (Armis)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8.5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OT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Zscaler CASB: Shadow IT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CNAPP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Cloud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Assigned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CERT-In Advisory: CVE-2026-1234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CERT-In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7.0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Infra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Forescout: Rogue Device on 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SoC 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Network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CyberArk: Shared Admin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Spotlight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IAM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Bug Bounty: IDOR in HR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Bug Bounty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5.4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App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EASM: Open S3 Bucket 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Cloud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Expired SSL on Internal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App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Backlog</w:t>
            </w:r>
          </w:p>
        </w:tc>
      </w:tr>
    </w:tbl>
    <w:p>
      <w:pPr>
        <w:spacing w:before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8899AA"/>
          <w:sz w:val="22"/>
          <w:szCs w:val="22"/>
        </w:rPr>
        <w:t xml:space="preserve">Note: RE-007 (Accepted) will be excluded from executive and board reports. Accepted recommendation: Enable CyberArk session isolation, quarterly password rotation enforced, re-review in 90 days.</w:t>
      </w:r>
    </w:p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Implementation Plan</w:t>
      </w:r>
    </w:p>
    <w:p>
      <w:pPr>
        <w:pBdr>
          <w:bottom w:val="single" w:color="1ABC9C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4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connectors for CrowdStrike + Armis + VAPT upload. Unified schema design.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Live data flowing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Risk register portal. CVSS scoring engine. Owner assignment + SLA engine.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Register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Risk acceptance workflow. HoD approval flow. Recommendation engine.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Workflow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Executive dashboard. Report generation (CISO, Board, CERT-In). Role-based access.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Demo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Remaining connectors (CERT-In, Bug Bounty, SoC, Forescout, Zscaler). UAT.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system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Go-live. Handover. Infra support begins. Ops team training.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Commercial Model</w:t>
      </w:r>
    </w:p>
    <w:p>
      <w:pPr>
        <w:pBdr>
          <w:bottom w:val="single" w:color="1ABC9C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1-time platform delivery + subscription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 to 10,000 endpoints (covers Royal Enfield's 7,000)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2-year initial term, renewable annually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9 source connectors, portal, dashboards, reports, infra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 Handover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Portal operations handed to Royal Enfield IT team post Phase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Semantic Gravity: Infra-level support. Royal Enfield: Day-to-day 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Gurgaon demo — May 2026. Decision: Sudhakar (CM) via Sunil (Technical)</w:t>
            </w:r>
          </w:p>
        </w:tc>
      </w:tr>
    </w:tbl>
    <w:p>
      <w:pPr>
        <w:spacing w:before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What We Need From Royal Enfield</w:t>
      </w:r>
    </w:p>
    <w:p>
      <w:pPr>
        <w:pBdr>
          <w:bottom w:val="single" w:color="1ABC9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 finalize the blueprint and begin development, the following inputs are required: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 — Tool APIs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Read-only API keys or webhook endpoints for CrowdStrike, Armis, Zscaler CASB, SoC SIEM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 — VAPT Report Sample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 sample VAPT report (PDF or Excel) to design the import parser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 — Excel 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 risk register structure — column names and sample rows (anonymized 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 — Risk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HoD approval hierarchy. What defines 'accepted' in your org? Who approves per domain?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 — Ticketing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Confirm ticketing system in use: Jira / ServiceNow / other — for auto-ticket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 — Competitor Quotes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Quotes from PFC and other vendors — for commercial benchmarking</w:t>
            </w:r>
          </w:p>
        </w:tc>
      </w:tr>
    </w:tbl>
    <w:p>
      <w:pPr>
        <w:spacing w:before="120"/>
      </w:pPr>
    </w:p>
    <w:p>
      <w:pPr>
        <w:pBdr>
          <w:bottom w:val="single" w:color="1ABC9C" w:sz="4" w:space="1"/>
        </w:pBdr>
        <w:spacing w:before="120" w:after="12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99AA"/>
          <w:sz w:val="20"/>
          <w:szCs w:val="20"/>
        </w:rPr>
        <w:t xml:space="preserve">Semantic Gravity  ·  contact@semanticgravity.in  ·  Gurgaon Demo: May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8899AA"/>
        <w:sz w:val="18"/>
        <w:szCs w:val="18"/>
      </w:rPr>
      <w:t xml:space="preserve">Unified Risk Intelligence Platform — Blueprint v1.0</w:t>
    </w:r>
    <w:r>
      <w:rPr>
        <w:rFonts w:ascii="Arial" w:cs="Arial" w:eastAsia="Arial" w:hAnsi="Arial"/>
        <w:color w:val="8899AA"/>
        <w:sz w:val="18"/>
        <w:szCs w:val="18"/>
      </w:rPr>
      <w:t xml:space="preserve">	Page </w:t>
    </w:r>
    <w: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D1B2A"/>
              <w:sz w:val="18"/>
              <w:szCs w:val="18"/>
            </w:rPr>
            <w:t xml:space="preserve">SEMANTIC GRAVITY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99AA"/>
              <w:sz w:val="18"/>
              <w:szCs w:val="18"/>
            </w:rPr>
            <w:t xml:space="preserve">Prepared for: Royal Enfield  |  Confidential</w:t>
          </w:r>
        </w:p>
      </w:tc>
    </w:tr>
  </w:tbl>
  <w:p>
    <w:pPr>
      <w:pBdr>
        <w:bottom w:val="single" w:color="1ABC9C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2026-04-08T17:00:51.250Z</dcterms:created>
  <dcterms:modified xsi:type="dcterms:W3CDTF">2026-04-08T17:00:51.251Z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