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A90D9" w:sz="4" w:space="4"/>
        </w:pBdr>
        <w:spacing w:after="120" w:before="280"/>
      </w:pPr>
      <w:r>
        <w:rPr>
          <w:rFonts w:ascii="Calibri" w:cs="Calibri" w:eastAsia="Calibri" w:hAnsi="Calibri"/>
          <w:b/>
          <w:bCs/>
          <w:color w:val="1E2761"/>
          <w:spacing w:val="80"/>
          <w:sz w:val="20"/>
          <w:szCs w:val="20"/>
        </w:rPr>
        <w:t xml:space="preserve">THE $200K BUG NOBODY SAW COMING</w:t>
      </w:r>
    </w:p>
    <w:p>
      <w:pPr>
        <w:spacing w:after="120"/>
        <w:jc w:val="left"/>
      </w:pPr>
      <w:r>
        <w:rPr>
          <w:rFonts w:ascii="Calibri" w:cs="Calibri" w:eastAsia="Calibri" w:hAnsi="Calibri"/>
          <w:color w:val="333333"/>
          <w:sz w:val="21"/>
          <w:szCs w:val="21"/>
        </w:rPr>
        <w:t xml:space="preserve">A team ships 40 PRs a week with AI agents. Velocity is through the roof. Then a Copilot-generated PR bypasses a payment validation check that was never written down. A duplicate payment goes out. The client calls. Legal gets involved. The fix takes a week. The trust takes a year.</w:t>
      </w:r>
    </w:p>
    <w:p>
      <w:pPr>
        <w:spacing w:after="120"/>
        <w:jc w:val="left"/>
      </w:pPr>
      <w:r>
        <w:rPr>
          <w:rFonts w:ascii="Calibri" w:cs="Calibri" w:eastAsia="Calibri" w:hAnsi="Calibri"/>
          <w:b/>
          <w:bCs/>
          <w:color w:val="1E2761"/>
          <w:sz w:val="21"/>
          <w:szCs w:val="21"/>
        </w:rPr>
        <w:t xml:space="preserve">This wasn’t a code quality problem.</w:t>
      </w:r>
      <w:r>
        <w:rPr>
          <w:rFonts w:ascii="Calibri" w:cs="Calibri" w:eastAsia="Calibri" w:hAnsi="Calibri"/>
          <w:color w:val="333333"/>
          <w:sz w:val="21"/>
          <w:szCs w:val="21"/>
        </w:rPr>
        <w:t xml:space="preserve"> The tests passed. The linter passed. The agent did exactly what it was asked to do. </w:t>
      </w:r>
      <w:r>
        <w:rPr>
          <w:rFonts w:ascii="Calibri" w:cs="Calibri" w:eastAsia="Calibri" w:hAnsi="Calibri"/>
          <w:b/>
          <w:bCs/>
          <w:color w:val="E74C3C"/>
          <w:sz w:val="21"/>
          <w:szCs w:val="21"/>
        </w:rPr>
        <w:t xml:space="preserve">The problem was that nobody told the agent what must never happen.</w:t>
      </w:r>
    </w:p>
    <w:p>
      <w:pPr>
        <w:spacing w:after="120"/>
        <w:jc w:val="left"/>
      </w:pPr>
      <w:r>
        <w:rPr>
          <w:rFonts w:ascii="Calibri" w:cs="Calibri" w:eastAsia="Calibri" w:hAnsi="Calibri"/>
          <w:i/>
          <w:iCs/>
          <w:color w:val="333333"/>
          <w:sz w:val="21"/>
          <w:szCs w:val="21"/>
        </w:rPr>
        <w:t xml:space="preserve">Every engineering org adopting AI agents is exposed to this right now. The question isn’t whether it will happen — it’s whether you’ll catch it before your customer does.</w:t>
      </w:r>
    </w:p>
    <w:p>
      <w:pPr>
        <w:pBdr>
          <w:bottom w:val="single" w:color="4A90D9" w:sz="4" w:space="4"/>
        </w:pBdr>
        <w:spacing w:after="120" w:before="280"/>
      </w:pPr>
      <w:r>
        <w:rPr>
          <w:rFonts w:ascii="Calibri" w:cs="Calibri" w:eastAsia="Calibri" w:hAnsi="Calibri"/>
          <w:b/>
          <w:bCs/>
          <w:color w:val="1E2761"/>
          <w:spacing w:val="80"/>
          <w:sz w:val="20"/>
          <w:szCs w:val="20"/>
        </w:rPr>
        <w:t xml:space="preserve">WHAT THIS COSTS YOU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440"/>
        <w:gridCol w:w="3640"/>
      </w:tblGrid>
      <w:tr>
        <w:tc>
          <w:tcPr>
            <w:tcW w:type="dxa" w:w="20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19"/>
                <w:szCs w:val="19"/>
              </w:rPr>
              <w:t xml:space="preserve">If you’re a…</w:t>
            </w:r>
          </w:p>
        </w:tc>
        <w:tc>
          <w:tcPr>
            <w:tcW w:type="dxa" w:w="444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19"/>
                <w:szCs w:val="19"/>
              </w:rPr>
              <w:t xml:space="preserve">You’re feeling this</w:t>
            </w:r>
          </w:p>
        </w:tc>
        <w:tc>
          <w:tcPr>
            <w:tcW w:type="dxa" w:w="364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19"/>
                <w:szCs w:val="19"/>
              </w:rPr>
              <w:t xml:space="preserve">What it costs</w:t>
            </w:r>
          </w:p>
        </w:tc>
      </w:tr>
      <w:tr>
        <w:tc>
          <w:tcPr>
            <w:tcW w:type="dxa" w:w="200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b/>
                <w:bCs/>
                <w:color w:val="1E2761"/>
                <w:sz w:val="19"/>
                <w:szCs w:val="19"/>
              </w:rPr>
              <w:t xml:space="preserve">CTO / VP Eng</w:t>
            </w:r>
          </w:p>
        </w:tc>
        <w:tc>
          <w:tcPr>
            <w:tcW w:type="dxa" w:w="444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color w:val="333333"/>
                <w:sz w:val="19"/>
                <w:szCs w:val="19"/>
              </w:rPr>
              <w:t xml:space="preserve">Agents ship code that violates constraints nobody documented. You find out in production.</w:t>
            </w:r>
          </w:p>
        </w:tc>
        <w:tc>
          <w:tcPr>
            <w:tcW w:type="dxa" w:w="364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color w:val="333333"/>
                <w:sz w:val="19"/>
                <w:szCs w:val="19"/>
              </w:rPr>
              <w:t xml:space="preserve">Incidents, rework, eroded trust in AI tooling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E2761"/>
                <w:sz w:val="19"/>
                <w:szCs w:val="19"/>
              </w:rPr>
              <w:t xml:space="preserve">CPO / VP Product</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333333"/>
                <w:sz w:val="19"/>
                <w:szCs w:val="19"/>
              </w:rPr>
              <w:t xml:space="preserve">Your roadmap says “don’t build X” but an agent builds it anyway because the PRD isn’t in the codebase.</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333333"/>
                <w:sz w:val="19"/>
                <w:szCs w:val="19"/>
              </w:rPr>
              <w:t xml:space="preserve">Scope creep, wasted sprints, diluted product focus</w:t>
            </w:r>
          </w:p>
        </w:tc>
      </w:tr>
      <w:tr>
        <w:tc>
          <w:tcPr>
            <w:tcW w:type="dxa" w:w="200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b/>
                <w:bCs/>
                <w:color w:val="1E2761"/>
                <w:sz w:val="19"/>
                <w:szCs w:val="19"/>
              </w:rPr>
              <w:t xml:space="preserve">Eng Manager</w:t>
            </w:r>
          </w:p>
        </w:tc>
        <w:tc>
          <w:tcPr>
            <w:tcW w:type="dxa" w:w="444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color w:val="333333"/>
                <w:sz w:val="19"/>
                <w:szCs w:val="19"/>
              </w:rPr>
              <w:t xml:space="preserve">Three squads make incompatible assumptions about the same system. You discover it during integration.</w:t>
            </w:r>
          </w:p>
        </w:tc>
        <w:tc>
          <w:tcPr>
            <w:tcW w:type="dxa" w:w="364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color w:val="333333"/>
                <w:sz w:val="19"/>
                <w:szCs w:val="19"/>
              </w:rPr>
              <w:t xml:space="preserve">Coordination tax, missed deadlines, team friction</w:t>
            </w:r>
          </w:p>
        </w:tc>
      </w:tr>
    </w:tbl>
    <w:p>
      <w:pPr>
        <w:spacing w:after="40"/>
        <w:jc w:val="left"/>
      </w:pPr>
      <w:r>
        <w:rPr>
          <w:rFonts w:ascii="Calibri" w:cs="Calibri" w:eastAsia="Calibri" w:hAnsi="Calibri"/>
          <w:b/>
          <w:bCs/>
          <w:color w:val="1E2761"/>
          <w:sz w:val="20"/>
          <w:szCs w:val="20"/>
        </w:rPr>
        <w:t xml:space="preserve">None of these are solved by better tests, better prompts, or better agents.</w:t>
      </w:r>
      <w:r>
        <w:rPr>
          <w:rFonts w:ascii="Calibri" w:cs="Calibri" w:eastAsia="Calibri" w:hAnsi="Calibri"/>
          <w:color w:val="333333"/>
          <w:sz w:val="20"/>
          <w:szCs w:val="20"/>
        </w:rPr>
        <w:t xml:space="preserve"> They’re solved by making the rules explicit, machine-readable, and enforced before code merges.</w:t>
      </w:r>
    </w:p>
    <w:p>
      <w:pPr>
        <w:pBdr>
          <w:bottom w:val="single" w:color="4A90D9" w:sz="4" w:space="4"/>
        </w:pBdr>
        <w:spacing w:after="120" w:before="280"/>
      </w:pPr>
      <w:r>
        <w:rPr>
          <w:rFonts w:ascii="Calibri" w:cs="Calibri" w:eastAsia="Calibri" w:hAnsi="Calibri"/>
          <w:b/>
          <w:bCs/>
          <w:color w:val="1E2761"/>
          <w:spacing w:val="80"/>
          <w:sz w:val="20"/>
          <w:szCs w:val="20"/>
        </w:rPr>
        <w:t xml:space="preserve">SEMANTIC AUTHORITY: ONE FILE, THREE ENFORCEMENT LEVELS</w:t>
      </w:r>
    </w:p>
    <w:p>
      <w:pPr>
        <w:spacing w:after="120"/>
        <w:jc w:val="left"/>
      </w:pPr>
      <w:r>
        <w:rPr>
          <w:rFonts w:ascii="Consolas" w:cs="Consolas" w:eastAsia="Consolas" w:hAnsi="Consolas"/>
          <w:b/>
          <w:bCs/>
          <w:color w:val="4A90D9"/>
          <w:sz w:val="21"/>
          <w:szCs w:val="21"/>
        </w:rPr>
        <w:t xml:space="preserve">MEANING.yaml</w:t>
      </w:r>
      <w:r>
        <w:rPr>
          <w:rFonts w:ascii="Calibri" w:cs="Calibri" w:eastAsia="Calibri" w:hAnsi="Calibri"/>
          <w:color w:val="333333"/>
          <w:sz w:val="21"/>
          <w:szCs w:val="21"/>
        </w:rPr>
        <w:t xml:space="preserve"> is a structured file that lives in your repo and declares:</w:t>
      </w:r>
    </w:p>
    <w:p>
      <w:pPr>
        <w:pStyle w:val="ListParagraph"/>
        <w:numPr>
          <w:ilvl w:val="0"/>
          <w:numId w:val="2"/>
        </w:numPr>
        <w:spacing w:after="60"/>
      </w:pPr>
      <w:r>
        <w:rPr>
          <w:rFonts w:ascii="Calibri" w:cs="Calibri" w:eastAsia="Calibri" w:hAnsi="Calibri"/>
          <w:b/>
          <w:bCs/>
          <w:color w:val="1E2761"/>
          <w:sz w:val="20"/>
          <w:szCs w:val="20"/>
        </w:rPr>
        <w:t xml:space="preserve">What the system is for</w:t>
      </w:r>
      <w:r>
        <w:rPr>
          <w:rFonts w:ascii="Calibri" w:cs="Calibri" w:eastAsia="Calibri" w:hAnsi="Calibri"/>
          <w:color w:val="333333"/>
          <w:sz w:val="20"/>
          <w:szCs w:val="20"/>
        </w:rPr>
        <w:t xml:space="preserve"> — one sentence, testable success criteria</w:t>
      </w:r>
    </w:p>
    <w:p>
      <w:pPr>
        <w:pStyle w:val="ListParagraph"/>
        <w:numPr>
          <w:ilvl w:val="0"/>
          <w:numId w:val="2"/>
        </w:numPr>
        <w:spacing w:after="60"/>
      </w:pPr>
      <w:r>
        <w:rPr>
          <w:rFonts w:ascii="Calibri" w:cs="Calibri" w:eastAsia="Calibri" w:hAnsi="Calibri"/>
          <w:b/>
          <w:bCs/>
          <w:color w:val="1E2761"/>
          <w:sz w:val="20"/>
          <w:szCs w:val="20"/>
        </w:rPr>
        <w:t xml:space="preserve">What it is NOT for</w:t>
      </w:r>
      <w:r>
        <w:rPr>
          <w:rFonts w:ascii="Calibri" w:cs="Calibri" w:eastAsia="Calibri" w:hAnsi="Calibri"/>
          <w:color w:val="333333"/>
          <w:sz w:val="20"/>
          <w:szCs w:val="20"/>
        </w:rPr>
        <w:t xml:space="preserve"> — explicit scope boundaries agents must respect</w:t>
      </w:r>
    </w:p>
    <w:p>
      <w:pPr>
        <w:pStyle w:val="ListParagraph"/>
        <w:numPr>
          <w:ilvl w:val="0"/>
          <w:numId w:val="2"/>
        </w:numPr>
        <w:spacing w:after="60"/>
      </w:pPr>
      <w:r>
        <w:rPr>
          <w:rFonts w:ascii="Calibri" w:cs="Calibri" w:eastAsia="Calibri" w:hAnsi="Calibri"/>
          <w:b/>
          <w:bCs/>
          <w:color w:val="1E2761"/>
          <w:sz w:val="20"/>
          <w:szCs w:val="20"/>
        </w:rPr>
        <w:t xml:space="preserve">What must never be violated</w:t>
      </w:r>
      <w:r>
        <w:rPr>
          <w:rFonts w:ascii="Calibri" w:cs="Calibri" w:eastAsia="Calibri" w:hAnsi="Calibri"/>
          <w:color w:val="333333"/>
          <w:sz w:val="20"/>
          <w:szCs w:val="20"/>
        </w:rPr>
        <w:t xml:space="preserve"> — constraints with IDs, owners, and enforcement levels</w:t>
      </w:r>
    </w:p>
    <w:p>
      <w:pPr>
        <w:pStyle w:val="ListParagraph"/>
        <w:numPr>
          <w:ilvl w:val="0"/>
          <w:numId w:val="2"/>
        </w:numPr>
        <w:spacing w:after="60"/>
      </w:pPr>
      <w:r>
        <w:rPr>
          <w:rFonts w:ascii="Calibri" w:cs="Calibri" w:eastAsia="Calibri" w:hAnsi="Calibri"/>
          <w:b/>
          <w:bCs/>
          <w:color w:val="1E2761"/>
          <w:sz w:val="20"/>
          <w:szCs w:val="20"/>
        </w:rPr>
        <w:t xml:space="preserve">What trade-offs were chosen</w:t>
      </w:r>
      <w:r>
        <w:rPr>
          <w:rFonts w:ascii="Calibri" w:cs="Calibri" w:eastAsia="Calibri" w:hAnsi="Calibri"/>
          <w:color w:val="333333"/>
          <w:sz w:val="20"/>
          <w:szCs w:val="20"/>
        </w:rPr>
        <w:t xml:space="preserve"> — and when to revisit them</w:t>
      </w:r>
    </w:p>
    <w:p>
      <w:pPr>
        <w:spacing w:after="60"/>
        <w:jc w:val="left"/>
      </w:pPr>
      <w:r>
        <w:rPr>
          <w:rFonts w:ascii="Calibri" w:cs="Calibri" w:eastAsia="Calibri" w:hAnsi="Calibri"/>
          <w:color w:val="333333"/>
          <w:sz w:val="20"/>
          <w:szCs w:val="20"/>
        </w:rPr>
        <w:t xml:space="preserve">Three enforcement levels give you graduated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240"/>
        <w:gridCol w:w="5240"/>
      </w:tblGrid>
      <w:tr>
        <w:tc>
          <w:tcPr>
            <w:tcW w:type="dxa" w:w="16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19"/>
                <w:szCs w:val="19"/>
              </w:rPr>
              <w:t xml:space="preserve">Level</w:t>
            </w:r>
          </w:p>
        </w:tc>
        <w:tc>
          <w:tcPr>
            <w:tcW w:type="dxa" w:w="324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19"/>
                <w:szCs w:val="19"/>
              </w:rPr>
              <w:t xml:space="preserve">What happens</w:t>
            </w:r>
          </w:p>
        </w:tc>
        <w:tc>
          <w:tcPr>
            <w:tcW w:type="dxa" w:w="524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19"/>
                <w:szCs w:val="19"/>
              </w:rPr>
              <w:t xml:space="preserve">Example</w:t>
            </w:r>
          </w:p>
        </w:tc>
      </w:tr>
      <w:tr>
        <w:tc>
          <w:tcPr>
            <w:tcW w:type="dxa" w:w="160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b/>
                <w:bCs/>
                <w:color w:val="E74C3C"/>
                <w:sz w:val="19"/>
                <w:szCs w:val="19"/>
              </w:rPr>
              <w:t xml:space="preserve">Block</w:t>
            </w:r>
          </w:p>
        </w:tc>
        <w:tc>
          <w:tcPr>
            <w:tcW w:type="dxa" w:w="324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color w:val="333333"/>
                <w:sz w:val="19"/>
                <w:szCs w:val="19"/>
              </w:rPr>
              <w:t xml:space="preserve">PR cannot merge</w:t>
            </w:r>
          </w:p>
        </w:tc>
        <w:tc>
          <w:tcPr>
            <w:tcW w:type="dxa" w:w="524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color w:val="333333"/>
                <w:sz w:val="19"/>
                <w:szCs w:val="19"/>
              </w:rPr>
              <w:t xml:space="preserve">“Invoice must never be paid twice for the same vendor”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F39C12"/>
                <w:sz w:val="19"/>
                <w:szCs w:val="19"/>
              </w:rPr>
              <w:t xml:space="preserve">Warn</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333333"/>
                <w:sz w:val="19"/>
                <w:szCs w:val="19"/>
              </w:rPr>
              <w:t xml:space="preserve">PR flagged, owner must acknowledge</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333333"/>
                <w:sz w:val="19"/>
                <w:szCs w:val="19"/>
              </w:rPr>
              <w:t xml:space="preserve">“Search P95 must stay under 500ms”</w:t>
            </w:r>
          </w:p>
        </w:tc>
      </w:tr>
      <w:tr>
        <w:tc>
          <w:tcPr>
            <w:tcW w:type="dxa" w:w="160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b/>
                <w:bCs/>
                <w:color w:val="4A90D9"/>
                <w:sz w:val="19"/>
                <w:szCs w:val="19"/>
              </w:rPr>
              <w:t xml:space="preserve">Observe</w:t>
            </w:r>
          </w:p>
        </w:tc>
        <w:tc>
          <w:tcPr>
            <w:tcW w:type="dxa" w:w="324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color w:val="333333"/>
                <w:sz w:val="19"/>
                <w:szCs w:val="19"/>
              </w:rPr>
              <w:t xml:space="preserve">Logged for trend analysis</w:t>
            </w:r>
          </w:p>
        </w:tc>
        <w:tc>
          <w:tcPr>
            <w:tcW w:type="dxa" w:w="524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color w:val="333333"/>
                <w:sz w:val="19"/>
                <w:szCs w:val="19"/>
              </w:rPr>
              <w:t xml:space="preserve">“Prefer async over sync for external calls”</w:t>
            </w:r>
          </w:p>
        </w:tc>
      </w:tr>
    </w:tbl>
    <w:p>
      <w:pPr>
        <w:spacing w:after="60"/>
        <w:jc w:val="left"/>
      </w:pPr>
      <w:r>
        <w:rPr>
          <w:rFonts w:ascii="Calibri" w:cs="Calibri" w:eastAsia="Calibri" w:hAnsi="Calibri"/>
          <w:b/>
          <w:bCs/>
          <w:i/>
          <w:iCs/>
          <w:color w:val="8892B0"/>
          <w:sz w:val="19"/>
          <w:szCs w:val="19"/>
        </w:rPr>
        <w:t xml:space="preserve">You start with observe. You promote to warn. You escalate to block.</w:t>
      </w:r>
      <w:r>
        <w:rPr>
          <w:rFonts w:ascii="Calibri" w:cs="Calibri" w:eastAsia="Calibri" w:hAnsi="Calibri"/>
          <w:i/>
          <w:iCs/>
          <w:color w:val="8892B0"/>
          <w:sz w:val="19"/>
          <w:szCs w:val="19"/>
        </w:rPr>
        <w:t xml:space="preserve"> Your team builds confidence before enforcement tightens.</w:t>
      </w:r>
    </w:p>
    <w:p>
      <w:pPr>
        <w:pBdr>
          <w:bottom w:val="single" w:color="4A90D9" w:sz="4" w:space="4"/>
        </w:pBdr>
        <w:spacing w:after="120" w:before="280"/>
      </w:pPr>
      <w:r>
        <w:rPr>
          <w:rFonts w:ascii="Calibri" w:cs="Calibri" w:eastAsia="Calibri" w:hAnsi="Calibri"/>
          <w:b/>
          <w:bCs/>
          <w:color w:val="1E2761"/>
          <w:spacing w:val="80"/>
          <w:sz w:val="20"/>
          <w:szCs w:val="20"/>
        </w:rPr>
        <w:t xml:space="preserve">WHAT CHANGES FOR YOUR ORG</w:t>
      </w:r>
    </w:p>
    <w:p>
      <w:pPr>
        <w:spacing w:after="120"/>
        <w:jc w:val="left"/>
      </w:pPr>
      <w:r>
        <w:rPr>
          <w:rFonts w:ascii="Calibri" w:cs="Calibri" w:eastAsia="Calibri" w:hAnsi="Calibri"/>
          <w:b/>
          <w:bCs/>
          <w:color w:val="4A90D9"/>
          <w:sz w:val="21"/>
          <w:szCs w:val="21"/>
        </w:rPr>
        <w:t xml:space="preserve">For product leaders: </w:t>
      </w:r>
      <w:r>
        <w:rPr>
          <w:rFonts w:ascii="Calibri" w:cs="Calibri" w:eastAsia="Calibri" w:hAnsi="Calibri"/>
          <w:color w:val="333333"/>
          <w:sz w:val="21"/>
          <w:szCs w:val="21"/>
        </w:rPr>
        <w:t xml:space="preserve">Your non-goals finally have teeth. When you say “we are not building multi-currency in v1,” that boundary lives in the codebase — not in a Confluence page nobody reads. AI agents see it before they write a single line. Drift reports show you exactly where intent is diverging from implementation.</w:t>
      </w:r>
    </w:p>
    <w:p>
      <w:pPr>
        <w:spacing w:after="120"/>
        <w:jc w:val="left"/>
      </w:pPr>
      <w:r>
        <w:rPr>
          <w:rFonts w:ascii="Calibri" w:cs="Calibri" w:eastAsia="Calibri" w:hAnsi="Calibri"/>
          <w:b/>
          <w:bCs/>
          <w:color w:val="4A90D9"/>
          <w:sz w:val="21"/>
          <w:szCs w:val="21"/>
        </w:rPr>
        <w:t xml:space="preserve">For engineering leaders: </w:t>
      </w:r>
      <w:r>
        <w:rPr>
          <w:rFonts w:ascii="Calibri" w:cs="Calibri" w:eastAsia="Calibri" w:hAnsi="Calibri"/>
          <w:color w:val="333333"/>
          <w:sz w:val="21"/>
          <w:szCs w:val="21"/>
        </w:rPr>
        <w:t xml:space="preserve">Constraints get IDs, owners, and enforcement levels — like policies in production, but for meaning. CI catches violations the same way it catches test failures. Your agents cite constraint IDs in PRs. New hires read MEANING.yaml on day one and understand what matters before writing code.</w:t>
      </w:r>
    </w:p>
    <w:p>
      <w:pPr>
        <w:spacing w:after="120"/>
        <w:jc w:val="left"/>
      </w:pPr>
      <w:r>
        <w:rPr>
          <w:rFonts w:ascii="Calibri" w:cs="Calibri" w:eastAsia="Calibri" w:hAnsi="Calibri"/>
          <w:b/>
          <w:bCs/>
          <w:color w:val="4A90D9"/>
          <w:sz w:val="21"/>
          <w:szCs w:val="21"/>
        </w:rPr>
        <w:t xml:space="preserve">For eng managers: </w:t>
      </w:r>
      <w:r>
        <w:rPr>
          <w:rFonts w:ascii="Calibri" w:cs="Calibri" w:eastAsia="Calibri" w:hAnsi="Calibri"/>
          <w:color w:val="333333"/>
          <w:sz w:val="21"/>
          <w:szCs w:val="21"/>
        </w:rPr>
        <w:t xml:space="preserve">Cross-team coordination becomes explicit. When team A’s constraint affects team B’s service, that dependency is declared, not discovered during a 2am incident. Drift reports replace “I thought you knew” with “here’s the constraint ID.”</w:t>
      </w:r>
    </w:p>
    <w:p>
      <w:r>
        <w:br w:type="page"/>
      </w:r>
    </w:p>
    <w:p>
      <w:pPr>
        <w:pBdr>
          <w:bottom w:val="single" w:color="4A90D9" w:sz="4" w:space="4"/>
        </w:pBdr>
        <w:spacing w:after="120" w:before="280"/>
      </w:pPr>
      <w:r>
        <w:rPr>
          <w:rFonts w:ascii="Calibri" w:cs="Calibri" w:eastAsia="Calibri" w:hAnsi="Calibri"/>
          <w:b/>
          <w:bCs/>
          <w:color w:val="1E2761"/>
          <w:spacing w:val="80"/>
          <w:sz w:val="20"/>
          <w:szCs w:val="20"/>
        </w:rPr>
        <w:t xml:space="preserve">HOW TEAMS ADOPT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5080"/>
        <w:gridCol w:w="3400"/>
      </w:tblGrid>
      <w:tr>
        <w:tc>
          <w:tcPr>
            <w:tcW w:type="dxa" w:w="16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19"/>
                <w:szCs w:val="19"/>
              </w:rPr>
              <w:t xml:space="preserve">Week</w:t>
            </w:r>
          </w:p>
        </w:tc>
        <w:tc>
          <w:tcPr>
            <w:tcW w:type="dxa" w:w="508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19"/>
                <w:szCs w:val="19"/>
              </w:rPr>
              <w:t xml:space="preserve">What happens</w:t>
            </w:r>
          </w:p>
        </w:tc>
        <w:tc>
          <w:tcPr>
            <w:tcW w:type="dxa" w:w="34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19"/>
                <w:szCs w:val="19"/>
              </w:rPr>
              <w:t xml:space="preserve">Disruption</w:t>
            </w:r>
          </w:p>
        </w:tc>
      </w:tr>
      <w:tr>
        <w:tc>
          <w:tcPr>
            <w:tcW w:type="dxa" w:w="160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b/>
                <w:bCs/>
                <w:color w:val="1E2761"/>
                <w:sz w:val="19"/>
                <w:szCs w:val="19"/>
              </w:rPr>
              <w:t xml:space="preserve">Day 1</w:t>
            </w:r>
          </w:p>
        </w:tc>
        <w:tc>
          <w:tcPr>
            <w:tcW w:type="dxa" w:w="508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color w:val="333333"/>
                <w:sz w:val="19"/>
                <w:szCs w:val="19"/>
              </w:rPr>
              <w:t xml:space="preserve">Run </w:t>
            </w:r>
            <w:r>
              <w:rPr>
                <w:rFonts w:ascii="Consolas" w:cs="Consolas" w:eastAsia="Consolas" w:hAnsi="Consolas"/>
                <w:b/>
                <w:bCs/>
                <w:color w:val="4A90D9"/>
                <w:sz w:val="19"/>
                <w:szCs w:val="19"/>
              </w:rPr>
              <w:t xml:space="preserve">meaning init</w:t>
            </w:r>
            <w:r>
              <w:rPr>
                <w:rFonts w:ascii="Calibri" w:cs="Calibri" w:eastAsia="Calibri" w:hAnsi="Calibri"/>
                <w:color w:val="333333"/>
                <w:sz w:val="19"/>
                <w:szCs w:val="19"/>
              </w:rPr>
              <w:t xml:space="preserve"> — 5-minute wizard scaffolds MEANING.yaml</w:t>
            </w:r>
          </w:p>
        </w:tc>
        <w:tc>
          <w:tcPr>
            <w:tcW w:type="dxa" w:w="340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color w:val="333333"/>
                <w:sz w:val="19"/>
                <w:szCs w:val="19"/>
              </w:rPr>
              <w:t xml:space="preserve">Zero. It’s a YAML file.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E2761"/>
                <w:sz w:val="19"/>
                <w:szCs w:val="19"/>
              </w:rPr>
              <w:t xml:space="preserve">Week 1</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333333"/>
                <w:sz w:val="19"/>
                <w:szCs w:val="19"/>
              </w:rPr>
              <w:t xml:space="preserve">Team reads it. PMs refine goals and non-goals.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333333"/>
                <w:sz w:val="19"/>
                <w:szCs w:val="19"/>
              </w:rPr>
              <w:t xml:space="preserve">A useful conversation.</w:t>
            </w:r>
          </w:p>
        </w:tc>
      </w:tr>
      <w:tr>
        <w:tc>
          <w:tcPr>
            <w:tcW w:type="dxa" w:w="160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b/>
                <w:bCs/>
                <w:color w:val="1E2761"/>
                <w:sz w:val="19"/>
                <w:szCs w:val="19"/>
              </w:rPr>
              <w:t xml:space="preserve">Week 2</w:t>
            </w:r>
          </w:p>
        </w:tc>
        <w:tc>
          <w:tcPr>
            <w:tcW w:type="dxa" w:w="508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color w:val="333333"/>
                <w:sz w:val="19"/>
                <w:szCs w:val="19"/>
              </w:rPr>
              <w:t xml:space="preserve">Run </w:t>
            </w:r>
            <w:r>
              <w:rPr>
                <w:rFonts w:ascii="Consolas" w:cs="Consolas" w:eastAsia="Consolas" w:hAnsi="Consolas"/>
                <w:b/>
                <w:bCs/>
                <w:color w:val="4A90D9"/>
                <w:sz w:val="19"/>
                <w:szCs w:val="19"/>
              </w:rPr>
              <w:t xml:space="preserve">meaning context</w:t>
            </w:r>
            <w:r>
              <w:rPr>
                <w:rFonts w:ascii="Calibri" w:cs="Calibri" w:eastAsia="Calibri" w:hAnsi="Calibri"/>
                <w:color w:val="333333"/>
                <w:sz w:val="19"/>
                <w:szCs w:val="19"/>
              </w:rPr>
              <w:t xml:space="preserve"> — AI agents get auto-generated guardrails</w:t>
            </w:r>
          </w:p>
        </w:tc>
        <w:tc>
          <w:tcPr>
            <w:tcW w:type="dxa" w:w="340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color w:val="333333"/>
                <w:sz w:val="19"/>
                <w:szCs w:val="19"/>
              </w:rPr>
              <w:t xml:space="preserve">Agents get smarter, not slower.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E2761"/>
                <w:sz w:val="19"/>
                <w:szCs w:val="19"/>
              </w:rPr>
              <w:t xml:space="preserve">Week 3</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333333"/>
                <w:sz w:val="19"/>
                <w:szCs w:val="19"/>
              </w:rPr>
              <w:t xml:space="preserve">CI runs validation. Warnings in PRs. No blocking.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333333"/>
                <w:sz w:val="19"/>
                <w:szCs w:val="19"/>
              </w:rPr>
              <w:t xml:space="preserve">Visibility without friction.</w:t>
            </w:r>
          </w:p>
        </w:tc>
      </w:tr>
      <w:tr>
        <w:tc>
          <w:tcPr>
            <w:tcW w:type="dxa" w:w="160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b/>
                <w:bCs/>
                <w:color w:val="1E2761"/>
                <w:sz w:val="19"/>
                <w:szCs w:val="19"/>
              </w:rPr>
              <w:t xml:space="preserve">Week 5+</w:t>
            </w:r>
          </w:p>
        </w:tc>
        <w:tc>
          <w:tcPr>
            <w:tcW w:type="dxa" w:w="508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color w:val="333333"/>
                <w:sz w:val="19"/>
                <w:szCs w:val="19"/>
              </w:rPr>
              <w:t xml:space="preserve">Block-level constraints fail the build.</w:t>
            </w:r>
          </w:p>
        </w:tc>
        <w:tc>
          <w:tcPr>
            <w:tcW w:type="dxa" w:w="3400"/>
            <w:tcBorders>
              <w:top w:val="single" w:color="CCCCCC" w:sz="1"/>
              <w:left w:val="single" w:color="CCCCCC" w:sz="1"/>
              <w:bottom w:val="single" w:color="CCCCCC" w:sz="1"/>
              <w:right w:val="single" w:color="CCCCCC" w:sz="1"/>
            </w:tcBorders>
            <w:shd w:fill="F4F6FB" w:val="clear"/>
            <w:tcMar>
              <w:top w:type="dxa" w:w="60"/>
              <w:left w:type="dxa" w:w="100"/>
              <w:bottom w:type="dxa" w:w="60"/>
              <w:right w:type="dxa" w:w="100"/>
            </w:tcMar>
          </w:tcPr>
          <w:p>
            <w:r>
              <w:rPr>
                <w:rFonts w:ascii="Calibri" w:cs="Calibri" w:eastAsia="Calibri" w:hAnsi="Calibri"/>
                <w:color w:val="333333"/>
                <w:sz w:val="19"/>
                <w:szCs w:val="19"/>
              </w:rPr>
              <w:t xml:space="preserve">Governance that actually works.</w:t>
            </w:r>
          </w:p>
        </w:tc>
      </w:tr>
    </w:tbl>
    <w:p>
      <w:pPr>
        <w:spacing w:after="80"/>
        <w:jc w:val="left"/>
      </w:pPr>
      <w:r>
        <w:rPr>
          <w:rFonts w:ascii="Calibri" w:cs="Calibri" w:eastAsia="Calibri" w:hAnsi="Calibri"/>
          <w:b/>
          <w:bCs/>
          <w:color w:val="1E2761"/>
          <w:sz w:val="20"/>
          <w:szCs w:val="20"/>
        </w:rPr>
        <w:t xml:space="preserve">Already have a BRD or PRD? </w:t>
      </w:r>
      <w:r>
        <w:rPr>
          <w:rFonts w:ascii="Calibri" w:cs="Calibri" w:eastAsia="Calibri" w:hAnsi="Calibri"/>
          <w:color w:val="333333"/>
          <w:sz w:val="20"/>
          <w:szCs w:val="20"/>
        </w:rPr>
        <w:t xml:space="preserve">Feed it to any LLM with the included prompt template. You get an 80% complete MEANING.yaml in minutes.</w:t>
      </w:r>
    </w:p>
    <w:p>
      <w:pPr>
        <w:pBdr>
          <w:bottom w:val="single" w:color="4A90D9" w:sz="4" w:space="4"/>
        </w:pBdr>
        <w:spacing w:after="120" w:before="280"/>
      </w:pPr>
      <w:r>
        <w:rPr>
          <w:rFonts w:ascii="Calibri" w:cs="Calibri" w:eastAsia="Calibri" w:hAnsi="Calibri"/>
          <w:b/>
          <w:bCs/>
          <w:color w:val="1E2761"/>
          <w:spacing w:val="80"/>
          <w:sz w:val="20"/>
          <w:szCs w:val="20"/>
        </w:rPr>
        <w:t xml:space="preserve">WHAT A CONSTRAINT ACTUALLY LOOKS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4A90D9" w:sz="8"/>
              <w:bottom w:val="single" w:color="CCCCCC" w:sz="1"/>
              <w:right w:val="single" w:color="CCCCCC" w:sz="1"/>
            </w:tcBorders>
            <w:shd w:fill="F8F9FE" w:val="clear"/>
            <w:tcMar>
              <w:top w:type="dxa" w:w="100"/>
              <w:left w:type="dxa" w:w="200"/>
              <w:bottom w:type="dxa" w:w="100"/>
              <w:right w:type="dxa" w:w="200"/>
            </w:tcMar>
          </w:tcPr>
          <w:p>
            <w:pPr>
              <w:spacing w:after="40"/>
            </w:pPr>
            <w:r>
              <w:rPr>
                <w:rFonts w:ascii="Consolas" w:cs="Consolas" w:eastAsia="Consolas" w:hAnsi="Consolas"/>
                <w:color w:val="8892B0"/>
                <w:sz w:val="19"/>
                <w:szCs w:val="19"/>
              </w:rPr>
              <w:t xml:space="preserve">id: </w:t>
            </w:r>
            <w:r>
              <w:rPr>
                <w:rFonts w:ascii="Consolas" w:cs="Consolas" w:eastAsia="Consolas" w:hAnsi="Consolas"/>
                <w:b/>
                <w:bCs/>
                <w:color w:val="1E2761"/>
                <w:sz w:val="19"/>
                <w:szCs w:val="19"/>
              </w:rPr>
              <w:t xml:space="preserve">C-FIN-NO-DOUBLE-PAY-001</w:t>
            </w:r>
          </w:p>
          <w:p>
            <w:pPr>
              <w:spacing w:after="40"/>
            </w:pPr>
            <w:r>
              <w:rPr>
                <w:rFonts w:ascii="Consolas" w:cs="Consolas" w:eastAsia="Consolas" w:hAnsi="Consolas"/>
                <w:color w:val="8892B0"/>
                <w:sz w:val="19"/>
                <w:szCs w:val="19"/>
              </w:rPr>
              <w:t xml:space="preserve">description: </w:t>
            </w:r>
            <w:r>
              <w:rPr>
                <w:rFonts w:ascii="Consolas" w:cs="Consolas" w:eastAsia="Consolas" w:hAnsi="Consolas"/>
                <w:color w:val="333333"/>
                <w:sz w:val="19"/>
                <w:szCs w:val="19"/>
              </w:rPr>
              <w:t xml:space="preserve">“Invoice must never be paid twice for the same vendor”</w:t>
            </w:r>
          </w:p>
          <w:p>
            <w:pPr>
              <w:spacing w:after="40"/>
            </w:pPr>
            <w:r>
              <w:rPr>
                <w:rFonts w:ascii="Consolas" w:cs="Consolas" w:eastAsia="Consolas" w:hAnsi="Consolas"/>
                <w:color w:val="8892B0"/>
                <w:sz w:val="19"/>
                <w:szCs w:val="19"/>
              </w:rPr>
              <w:t xml:space="preserve">enforcement: </w:t>
            </w:r>
            <w:r>
              <w:rPr>
                <w:rFonts w:ascii="Consolas" w:cs="Consolas" w:eastAsia="Consolas" w:hAnsi="Consolas"/>
                <w:b/>
                <w:bCs/>
                <w:color w:val="E74C3C"/>
                <w:sz w:val="19"/>
                <w:szCs w:val="19"/>
              </w:rPr>
              <w:t xml:space="preserve">block</w:t>
            </w:r>
          </w:p>
          <w:p>
            <w:pPr>
              <w:spacing w:after="40"/>
            </w:pPr>
            <w:r>
              <w:rPr>
                <w:rFonts w:ascii="Consolas" w:cs="Consolas" w:eastAsia="Consolas" w:hAnsi="Consolas"/>
                <w:color w:val="8892B0"/>
                <w:sz w:val="19"/>
                <w:szCs w:val="19"/>
              </w:rPr>
              <w:t xml:space="preserve">owner: </w:t>
            </w:r>
            <w:r>
              <w:rPr>
                <w:rFonts w:ascii="Consolas" w:cs="Consolas" w:eastAsia="Consolas" w:hAnsi="Consolas"/>
                <w:color w:val="333333"/>
                <w:sz w:val="19"/>
                <w:szCs w:val="19"/>
              </w:rPr>
              <w:t xml:space="preserve">finance-engineering</w:t>
            </w:r>
          </w:p>
          <w:p>
            <w:pPr>
              <w:spacing w:after="40"/>
            </w:pPr>
            <w:r>
              <w:rPr>
                <w:rFonts w:ascii="Consolas" w:cs="Consolas" w:eastAsia="Consolas" w:hAnsi="Consolas"/>
                <w:color w:val="8892B0"/>
                <w:sz w:val="19"/>
                <w:szCs w:val="19"/>
              </w:rPr>
              <w:t xml:space="preserve">rationale: </w:t>
            </w:r>
            <w:r>
              <w:rPr>
                <w:rFonts w:ascii="Consolas" w:cs="Consolas" w:eastAsia="Consolas" w:hAnsi="Consolas"/>
                <w:color w:val="333333"/>
                <w:sz w:val="19"/>
                <w:szCs w:val="19"/>
              </w:rPr>
              <w:t xml:space="preserve">“Duplicate payments cause direct financial loss”</w:t>
            </w:r>
          </w:p>
          <w:p>
            <w:r>
              <w:rPr>
                <w:rFonts w:ascii="Consolas" w:cs="Consolas" w:eastAsia="Consolas" w:hAnsi="Consolas"/>
                <w:color w:val="8892B0"/>
                <w:sz w:val="19"/>
                <w:szCs w:val="19"/>
              </w:rPr>
              <w:t xml:space="preserve">confidence: </w:t>
            </w:r>
            <w:r>
              <w:rPr>
                <w:rFonts w:ascii="Consolas" w:cs="Consolas" w:eastAsia="Consolas" w:hAnsi="Consolas"/>
                <w:color w:val="2ECC71"/>
                <w:sz w:val="19"/>
                <w:szCs w:val="19"/>
              </w:rPr>
              <w:t xml:space="preserve">high</w:t>
            </w:r>
          </w:p>
        </w:tc>
      </w:tr>
    </w:tbl>
    <w:p>
      <w:pPr>
        <w:spacing w:after="200"/>
        <w:jc w:val="left"/>
      </w:pPr>
      <w:r>
        <w:rPr>
          <w:rFonts w:ascii="Calibri" w:cs="Calibri" w:eastAsia="Calibri" w:hAnsi="Calibri"/>
          <w:i/>
          <w:iCs/>
          <w:color w:val="8892B0"/>
          <w:sz w:val="19"/>
          <w:szCs w:val="19"/>
        </w:rPr>
        <w:t xml:space="preserve">Not a guideline. Not a “best practice.” A machine-enforceable boundary with an owner, a rationale, and a CI gate.</w:t>
      </w:r>
    </w:p>
    <w:p>
      <w:pPr>
        <w:pBdr>
          <w:bottom w:val="single" w:color="4A90D9" w:sz="4" w:space="4"/>
        </w:pBdr>
        <w:spacing w:after="120" w:before="280"/>
      </w:pPr>
      <w:r>
        <w:rPr>
          <w:rFonts w:ascii="Calibri" w:cs="Calibri" w:eastAsia="Calibri" w:hAnsi="Calibri"/>
          <w:b/>
          <w:bCs/>
          <w:color w:val="1E2761"/>
          <w:spacing w:val="80"/>
          <w:sz w:val="20"/>
          <w:szCs w:val="20"/>
        </w:rPr>
        <w:t xml:space="preserve">WHY THIS MATTERS NOW</w:t>
      </w:r>
    </w:p>
    <w:p>
      <w:pPr>
        <w:spacing w:after="120"/>
        <w:jc w:val="left"/>
      </w:pPr>
      <w:r>
        <w:rPr>
          <w:rFonts w:ascii="Calibri" w:cs="Calibri" w:eastAsia="Calibri" w:hAnsi="Calibri"/>
          <w:color w:val="333333"/>
          <w:sz w:val="21"/>
          <w:szCs w:val="21"/>
        </w:rPr>
        <w:t xml:space="preserve">Every org is adopting AI agents. The ones that move fastest will be the ones that can </w:t>
      </w:r>
      <w:r>
        <w:rPr>
          <w:rFonts w:ascii="Calibri" w:cs="Calibri" w:eastAsia="Calibri" w:hAnsi="Calibri"/>
          <w:b/>
          <w:bCs/>
          <w:color w:val="1E2761"/>
          <w:sz w:val="21"/>
          <w:szCs w:val="21"/>
        </w:rPr>
        <w:t xml:space="preserve">trust their agents to stay inside the lines</w:t>
      </w:r>
      <w:r>
        <w:rPr>
          <w:rFonts w:ascii="Calibri" w:cs="Calibri" w:eastAsia="Calibri" w:hAnsi="Calibri"/>
          <w:color w:val="333333"/>
          <w:sz w:val="21"/>
          <w:szCs w:val="21"/>
        </w:rPr>
        <w:t xml:space="preserve"> — without slowing them down with manual review of every PR.</w:t>
      </w:r>
    </w:p>
    <w:p>
      <w:pPr>
        <w:spacing w:after="120"/>
        <w:jc w:val="left"/>
      </w:pPr>
      <w:r>
        <w:rPr>
          <w:rFonts w:ascii="Calibri" w:cs="Calibri" w:eastAsia="Calibri" w:hAnsi="Calibri"/>
          <w:color w:val="333333"/>
          <w:sz w:val="21"/>
          <w:szCs w:val="21"/>
        </w:rPr>
        <w:t xml:space="preserve">The orgs that figure out AI governance early will ship faster, break less, and retain the trust of their customers and their teams. The ones that don’t will spend the next two years cleaning up drift they can’t see yet.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2761" w:val="clear"/>
            <w:tcMar>
              <w:top w:type="dxa" w:w="160"/>
              <w:left w:type="dxa" w:w="300"/>
              <w:bottom w:type="dxa" w:w="160"/>
              <w:right w:type="dxa" w:w="300"/>
            </w:tcMar>
          </w:tcPr>
          <w:p>
            <w:pPr>
              <w:jc w:val="center"/>
            </w:pPr>
            <w:r>
              <w:rPr>
                <w:rFonts w:ascii="Georgia" w:cs="Georgia" w:eastAsia="Georgia" w:hAnsi="Georgia"/>
                <w:b/>
                <w:bCs/>
                <w:i/>
                <w:iCs/>
                <w:color w:val="64DFDF"/>
                <w:sz w:val="22"/>
                <w:szCs w:val="22"/>
              </w:rPr>
              <w:t xml:space="preserve">Semantic Authority is how you make the lines visible, machine-readable, and enforceable.</w:t>
            </w:r>
          </w:p>
        </w:tc>
      </w:tr>
    </w:tbl>
    <w:sectPr>
      <w:headerReference w:type="default" r:id="rId7"/>
      <w:footerReference w:type="default" r:id="rId8"/>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80"/>
    </w:pPr>
    <w:r>
      <w:rPr>
        <w:rFonts w:ascii="Calibri" w:cs="Calibri" w:eastAsia="Calibri" w:hAnsi="Calibri"/>
        <w:color w:val="8892B0"/>
        <w:sz w:val="15"/>
        <w:szCs w:val="15"/>
      </w:rPr>
      <w:t xml:space="preserve">Open Source (MIT)  |  npx @semantic-authority/cli init  |  github.com/ai-native-pm-stack/semantic-authority</w:t>
    </w:r>
    <w:r>
      <w:rPr>
        <w:rFonts w:ascii="Calibri" w:cs="Calibri" w:eastAsia="Calibri" w:hAnsi="Calibri"/>
        <w:sz w:val="15"/>
        <w:szCs w:val="15"/>
      </w:rPr>
      <w:t xml:space="preserve">	</w:t>
    </w:r>
    <w:r>
      <w:rPr>
        <w:rFonts w:ascii="Calibri" w:cs="Calibri" w:eastAsia="Calibri" w:hAnsi="Calibri"/>
        <w:color w:val="8892B0"/>
        <w:sz w:val="15"/>
        <w:szCs w:val="15"/>
      </w:rPr>
      <w:t xml:space="preserve">Page </w:t>
    </w:r>
    <w:r>
      <w:rPr>
        <w:rFonts w:ascii="Calibri" w:cs="Calibri" w:eastAsia="Calibri" w:hAnsi="Calibri"/>
        <w:color w:val="8892B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2761" w:val="clear"/>
          <w:tcMar>
            <w:top w:type="dxa" w:w="120"/>
            <w:left w:type="dxa" w:w="200"/>
            <w:bottom w:type="dxa" w:w="80"/>
            <w:right w:type="dxa" w:w="200"/>
          </w:tcMar>
        </w:tcPr>
        <w:p>
          <w:pPr>
            <w:spacing w:after="40"/>
          </w:pPr>
          <w:r>
            <w:rPr>
              <w:rFonts w:ascii="Calibri" w:cs="Calibri" w:eastAsia="Calibri" w:hAnsi="Calibri"/>
              <w:b/>
              <w:bCs/>
              <w:color w:val="FFFFFF"/>
              <w:spacing w:val="120"/>
              <w:sz w:val="28"/>
              <w:szCs w:val="28"/>
            </w:rPr>
            <w:t xml:space="preserve">SEMANTIC AUTHORITY</w:t>
          </w:r>
        </w:p>
        <w:p>
          <w:r>
            <w:rPr>
              <w:rFonts w:ascii="Calibri" w:cs="Calibri" w:eastAsia="Calibri" w:hAnsi="Calibri"/>
              <w:color w:val="CADCFC"/>
              <w:sz w:val="18"/>
              <w:szCs w:val="18"/>
            </w:rPr>
            <w:t xml:space="preserve">Your AI agents are shipping fast. But are they shipping right?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2026-03-27T08:54:53.527Z</dcterms:created>
  <dcterms:modified xsi:type="dcterms:W3CDTF">2026-03-27T08:54:53.528Z</dcterms:modified>
</cp:coreProperties>
</file>

<file path=docProps/custom.xml><?xml version="1.0" encoding="utf-8"?>
<Properties xmlns="http://schemas.openxmlformats.org/officeDocument/2006/custom-properties" xmlns:vt="http://schemas.openxmlformats.org/officeDocument/2006/docPropsVTypes"/>
</file>