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TypeScript MQ 工具与 TS→Java 代码生成器设计方案</w:t>
      </w:r>
    </w:p>
    <w:p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TypeScript 封装多适配 MQ 工具 + TS→Java 通用代码生成器</w:t>
      </w:r>
      <w:bookmarkEnd w:id="0"/>
    </w:p>
    <w:p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完整技术设计方案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我直接基于你</w:t>
      </w:r>
      <w:r>
        <w:rPr>
          <w:rFonts w:ascii="Arial" w:hAnsi="Arial" w:eastAsia="等线" w:cs="Arial"/>
          <w:b/>
          <w:sz w:val="22"/>
        </w:rPr>
        <w:t>TS 封装 MQ（仿 Spring Boot MQ）+ 多 MQ 适配 + TS→Java 通用代码生成</w:t>
      </w:r>
      <w:r>
        <w:rPr>
          <w:rFonts w:ascii="Arial" w:hAnsi="Arial" w:eastAsia="等线" w:cs="Arial"/>
          <w:sz w:val="22"/>
        </w:rPr>
        <w:t>的核心需求，输出</w:t>
      </w:r>
      <w:r>
        <w:rPr>
          <w:rFonts w:ascii="Arial" w:hAnsi="Arial" w:eastAsia="等线" w:cs="Arial"/>
          <w:b/>
          <w:sz w:val="22"/>
        </w:rPr>
        <w:t>可直接落地、企业级、可扩展</w:t>
      </w:r>
      <w:r>
        <w:rPr>
          <w:rFonts w:ascii="Arial" w:hAnsi="Arial" w:eastAsia="等线" w:cs="Arial"/>
          <w:sz w:val="22"/>
        </w:rPr>
        <w:t>的详细技术设计方案，全程贴合你的开发场景。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一、方案总览</w:t>
      </w:r>
      <w:bookmarkEnd w:id="2"/>
    </w:p>
    <w:p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核心目标</w:t>
      </w:r>
      <w:bookmarkEnd w:id="3"/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TS 封装 MQ 客户端</w:t>
      </w:r>
      <w:r>
        <w:rPr>
          <w:rFonts w:ascii="Arial" w:hAnsi="Arial" w:eastAsia="等线" w:cs="Arial"/>
          <w:sz w:val="22"/>
        </w:rPr>
        <w:t>：模仿 Spring Boot MQ 注解/配置化风格，支持</w:t>
      </w:r>
      <w:r>
        <w:rPr>
          <w:rFonts w:ascii="Arial" w:hAnsi="Arial" w:eastAsia="等线" w:cs="Arial"/>
          <w:b/>
          <w:sz w:val="22"/>
        </w:rPr>
        <w:t>RabbitMQ、Kafka、RocketMQ、RedisMQ</w:t>
      </w:r>
      <w:r>
        <w:rPr>
          <w:rFonts w:ascii="Arial" w:hAnsi="Arial" w:eastAsia="等线" w:cs="Arial"/>
          <w:sz w:val="22"/>
        </w:rPr>
        <w:t xml:space="preserve"> 一键切换，零业务代码改动。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 MQ 适配架构</w:t>
      </w:r>
      <w:r>
        <w:rPr>
          <w:rFonts w:ascii="Arial" w:hAnsi="Arial" w:eastAsia="等线" w:cs="Arial"/>
          <w:sz w:val="22"/>
        </w:rPr>
        <w:t>：统一抽象层 + 适配器模式，配置切换即可换底层 MQ 实现。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TS → Java 通用代码生成器</w:t>
      </w:r>
      <w:r>
        <w:rPr>
          <w:rFonts w:ascii="Arial" w:hAnsi="Arial" w:eastAsia="等线" w:cs="Arial"/>
          <w:sz w:val="22"/>
        </w:rPr>
        <w:t>：独立可复用模块，支持从 TS 接口/类型/配置自动生成 Java 实体、Service、Config、MQ 监听类，适配你后端自动生成平台。</w:t>
      </w:r>
    </w:p>
    <w:p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技术栈</w:t>
      </w:r>
      <w:bookmarkEnd w:id="4"/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前端/Node 层：</w:t>
      </w:r>
      <w:r>
        <w:rPr>
          <w:rFonts w:ascii="Arial" w:hAnsi="Arial" w:eastAsia="等线" w:cs="Arial"/>
          <w:b/>
          <w:sz w:val="22"/>
        </w:rPr>
        <w:t>TypeScript、Node.js、Decorator 装饰器、reflect-metadata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MQ 客户端：amqplib、kafkajs、rocketmq-client、ioredis</w:t>
      </w:r>
    </w:p>
    <w:p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代码生成：</w:t>
      </w:r>
      <w:r>
        <w:rPr>
          <w:rFonts w:ascii="Arial" w:hAnsi="Arial" w:eastAsia="等线" w:cs="Arial"/>
          <w:b/>
          <w:sz w:val="22"/>
        </w:rPr>
        <w:t>AST 解析（typescript）、模板引擎（handlebars）、文件 IO</w:t>
      </w:r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设计模式：适配器模式、工厂模式、策略模式、依赖注入（轻量）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二、TS MQ 工具封装设计（仿 Spring Boot MQ）</w:t>
      </w:r>
      <w:bookmarkEnd w:id="5"/>
    </w:p>
    <w:p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1. 整体架构（核心：统一抽象 + 多适配）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        业务使用层 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@MQListener、@MQProducer、send()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↓ 依赖注入 + 配置读取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      MQ 统一抽象层 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IMQClient、IMQConsumer、IMQProducer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↓ 适配器模式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┌─────────────────┬─────────────┬─────────────┐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RabbitAdapter │ KafkaAdapter │ RocketAdapter│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└─────────────────┴─────────────┴─────────────┘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↓ 底层驱动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     各 MQ 官方 SDK        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└─────────────────────────────────────────────┘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 统一抽象接口（核心契约）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 MQ 必须实现这套接口，实现</w:t>
      </w:r>
      <w:r>
        <w:rPr>
          <w:rFonts w:ascii="Arial" w:hAnsi="Arial" w:eastAsia="等线" w:cs="Arial"/>
          <w:b/>
          <w:sz w:val="22"/>
        </w:rPr>
        <w:t>配置切换、无感替换</w:t>
      </w:r>
      <w:r>
        <w:rPr>
          <w:rFonts w:ascii="Arial" w:hAnsi="Arial" w:eastAsia="等线" w:cs="Arial"/>
          <w:sz w:val="22"/>
        </w:rPr>
        <w:t>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TypeScript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IMQClient.ts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interface IMQClient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connect(): Promise&lt;void&gt;;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close(): Promise&lt;void&gt;;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createProducer(): IMQProducer;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createConsumer(options: ConsumerOptions): IMQConsumer;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IMQProducer.ts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interface IMQProducer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send(topic: string, message: any, options?: SendOptions): Promise&lt;void&gt;;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IMQConsumer.ts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interface IMQConsumer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subscribe(topic: string, callback: MessageHandler): Promise&lt;void&gt;;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start(): Promise&lt;void&gt;;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3. 配置化驱动（完全仿 Spring Boot）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只需改配置，无需改业务代码</w:t>
      </w:r>
      <w:r>
        <w:rPr>
          <w:rFonts w:ascii="Arial" w:hAnsi="Arial" w:eastAsia="等线" w:cs="Arial"/>
          <w:sz w:val="22"/>
        </w:rPr>
        <w:t>，自动加载对应适配器。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TypeScript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mq.config.ts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const mqConfig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// 切换：rabbit / kafka / rocket / redis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type: 'rabbit',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host: 'localhost',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port: 5672,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username: 'admin',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password: '123456',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// 公共配置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retryCount: 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timeout: 5000,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// 各 MQ 独有配置（自动识别）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rabbit: { exchange: 'test-exchange'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kafka: { groupId: 'test-group'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};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4. 装饰器风格使用（和 Spring Boot MQ 一模一样）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TypeScript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发送消息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@MQProducer()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class UserService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async sendUserUpdate(data: UserDTO)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await this.mq.send('user.update', data);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监听消息（核心注解）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@MQListener({ topic: 'user.update' 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class UserConsumer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onMessage(data: UserDTO)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console.log('收到消息', data);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5. 自动装载与工厂</w:t>
      </w:r>
      <w:bookmarkEnd w:id="10"/>
    </w:p>
    <w:p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MQClientFactory</w:t>
      </w:r>
      <w:r>
        <w:rPr>
          <w:rFonts w:ascii="Arial" w:hAnsi="Arial" w:eastAsia="等线" w:cs="Arial"/>
          <w:sz w:val="22"/>
        </w:rPr>
        <w:t xml:space="preserve">：根据 </w:t>
      </w:r>
      <w:r>
        <w:rPr>
          <w:rFonts w:ascii="Consolas" w:hAnsi="Consolas" w:eastAsia="Consolas" w:cs="Consolas"/>
          <w:sz w:val="22"/>
          <w:shd w:val="clear" w:fill="EFF0F1"/>
        </w:rPr>
        <w:t>config.type</w:t>
      </w:r>
      <w:r>
        <w:rPr>
          <w:rFonts w:ascii="Arial" w:hAnsi="Arial" w:eastAsia="等线" w:cs="Arial"/>
          <w:sz w:val="22"/>
        </w:rPr>
        <w:t xml:space="preserve"> 自动创建对应适配器</w:t>
      </w:r>
    </w:p>
    <w:p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装饰器扫描</w:t>
      </w:r>
      <w:r>
        <w:rPr>
          <w:rFonts w:ascii="Arial" w:hAnsi="Arial" w:eastAsia="等线" w:cs="Arial"/>
          <w:sz w:val="22"/>
        </w:rPr>
        <w:t xml:space="preserve">：自动收集 </w:t>
      </w:r>
      <w:r>
        <w:rPr>
          <w:rFonts w:ascii="Consolas" w:hAnsi="Consolas" w:eastAsia="Consolas" w:cs="Consolas"/>
          <w:sz w:val="22"/>
          <w:shd w:val="clear" w:fill="EFF0F1"/>
        </w:rPr>
        <w:t>@MQListener</w:t>
      </w:r>
      <w:r>
        <w:rPr>
          <w:rFonts w:ascii="Arial" w:hAnsi="Arial" w:eastAsia="等线" w:cs="Arial"/>
          <w:sz w:val="22"/>
        </w:rPr>
        <w:t>、初始化消费者</w:t>
      </w:r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全局单例</w:t>
      </w:r>
      <w:r>
        <w:rPr>
          <w:rFonts w:ascii="Arial" w:hAnsi="Arial" w:eastAsia="等线" w:cs="Arial"/>
          <w:sz w:val="22"/>
        </w:rPr>
        <w:t>：保持连接复用，仿 Spring 单例 Bean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三、TS → Java 通用代码生成器设计</w:t>
      </w:r>
      <w:bookmarkEnd w:id="11"/>
    </w:p>
    <w:p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1. 核心定位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通用、可扩展、可集成进你的后端代码生成平台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支持从 TS 生成：</w:t>
      </w:r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Java DTO/Entity</w:t>
      </w:r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Java MQ 配置类</w:t>
      </w:r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Java MQ Listener 监听类</w:t>
      </w:r>
    </w:p>
    <w:p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Java Service/Producer 发送类</w:t>
      </w:r>
    </w:p>
    <w:p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Spring Boot YML 配置</w:t>
      </w:r>
    </w:p>
    <w:p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2. 生成流程</w:t>
      </w:r>
      <w:bookmarkEnd w:id="13"/>
    </w:p>
    <w:p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AST 解析 TS 文件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解析：interface、type、class、装饰器、注解、配置</w:t>
      </w:r>
    </w:p>
    <w:p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生成中间模型（IR）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统一结构：字段名、类型、注解、MQ 信息</w:t>
      </w:r>
    </w:p>
    <w:p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模板渲染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Handlebars 模板，支持自定义扩展</w:t>
      </w:r>
    </w:p>
    <w:p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 Java 文件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按包结构自动生成目录</w:t>
      </w:r>
    </w:p>
    <w:p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3. 核心能力设计</w:t>
      </w:r>
      <w:bookmarkEnd w:id="14"/>
    </w:p>
    <w:p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（1）类型映射（TS ↔ Java）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string     → String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number     → Integer/Long/Double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boolean    → Boolean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Date       → Date/LocalDateTime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interface  → Java DTO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array      → List&lt;T&gt;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（2）注解自动映射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TS 装饰器 → Java Spring Boot 注解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@MQListener → @RabbitListener / @KafkaListener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@MQProducer → @RabbitHandler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（3）可扩展模板机制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你未来加任何模块（DB、Redis、Http、RPC）都能复用这套生成器，</w:t>
      </w:r>
      <w:r>
        <w:rPr>
          <w:rFonts w:ascii="Arial" w:hAnsi="Arial" w:eastAsia="等线" w:cs="Arial"/>
          <w:b/>
          <w:sz w:val="22"/>
        </w:rPr>
        <w:t>真正通用</w:t>
      </w:r>
      <w:r>
        <w:rPr>
          <w:rFonts w:ascii="Arial" w:hAnsi="Arial" w:eastAsia="等线" w:cs="Arial"/>
          <w:sz w:val="22"/>
        </w:rPr>
        <w:t>。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80" w:after="140" w:line="288" w:lineRule="auto"/>
        <w:ind w:left="0"/>
        <w:jc w:val="left"/>
        <w:outlineLvl w:val="0"/>
      </w:pPr>
      <w:bookmarkStart w:id="18" w:name="heading_18"/>
      <w:r>
        <w:rPr>
          <w:rFonts w:ascii="Arial" w:hAnsi="Arial" w:eastAsia="等线" w:cs="Arial"/>
          <w:b/>
          <w:sz w:val="36"/>
        </w:rPr>
        <w:t>四、完整目录结构（可直接开写）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/src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/mq                   # MQ 工具核心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/adapter            # 各 MQ 适配器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RabbitAdapter.ts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KafkaAdapter.ts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RocketAdapter.ts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/decorator          # 装饰器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MQListener.ts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MQProducer.ts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/factory            # 工厂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MQClientFactory.ts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/interface          # 统一抽象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config.ts           # 配置加载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/code-generator       # TS→Java 生成器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/ast-parser         # TS 解析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/model              # 中间模型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/template           # Java 模板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generator.ts        # 生成入口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/example              # 使用示例</w:t>
            </w:r>
          </w:p>
        </w:tc>
      </w:tr>
    </w:tbl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五、关键特性（满足你所有要求）</w:t>
      </w:r>
      <w:bookmarkEnd w:id="19"/>
    </w:p>
    <w:p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✅ 配置化切换多 MQ</w:t>
      </w:r>
      <w:bookmarkEnd w:id="20"/>
    </w:p>
    <w:p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无需修改业务代码</w:t>
      </w:r>
    </w:p>
    <w:p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 RabbitMQ/Kafka/RocketMQ/RedisMQ</w:t>
      </w:r>
    </w:p>
    <w:p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 API，无学习成本</w:t>
      </w:r>
    </w:p>
    <w:p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✅ 仿 Spring Boot MQ 体验</w:t>
      </w:r>
      <w:bookmarkEnd w:id="21"/>
    </w:p>
    <w:p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注解驱动：</w:t>
      </w:r>
      <w:r>
        <w:rPr>
          <w:rFonts w:ascii="Consolas" w:hAnsi="Consolas" w:eastAsia="Consolas" w:cs="Consolas"/>
          <w:sz w:val="22"/>
          <w:shd w:val="clear" w:fill="EFF0F1"/>
        </w:rPr>
        <w:t>@MQListener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@MQProducer</w:t>
      </w:r>
    </w:p>
    <w:p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自动连接、自动订阅、自动重连</w:t>
      </w:r>
    </w:p>
    <w:p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全局配置、重试机制、异常处理</w:t>
      </w:r>
    </w:p>
    <w:p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✅ TS→Java 通用代码生成</w:t>
      </w:r>
      <w:bookmarkEnd w:id="22"/>
    </w:p>
    <w:p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不绑定 MQ</w:t>
      </w:r>
      <w:r>
        <w:rPr>
          <w:rFonts w:ascii="Arial" w:hAnsi="Arial" w:eastAsia="等线" w:cs="Arial"/>
          <w:sz w:val="22"/>
        </w:rPr>
        <w:t>，可生成任何模块</w:t>
      </w:r>
    </w:p>
    <w:p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AST 解析，稳定可靠</w:t>
      </w:r>
    </w:p>
    <w:p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模板可扩展，接入你的生成平台</w:t>
      </w:r>
    </w:p>
    <w:p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✅ 企业级特性</w:t>
      </w:r>
      <w:bookmarkEnd w:id="23"/>
    </w:p>
    <w:p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连日志统一</w:t>
      </w:r>
    </w:p>
    <w:p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热重载配置</w:t>
      </w:r>
    </w:p>
    <w:p>
      <w:pPr>
        <w:spacing w:before="120" w:after="120" w:line="288" w:lineRule="auto"/>
        <w:ind w:left="0"/>
        <w:jc w:val="left"/>
      </w:pPr>
      <w:bookmarkStart w:id="24" w:name="_GoBack"/>
      <w:bookmarkEnd w:id="24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2"/>
  </w:num>
  <w:num w:numId="2">
    <w:abstractNumId w:val="8"/>
  </w:num>
  <w:num w:numId="3">
    <w:abstractNumId w:val="23"/>
  </w:num>
  <w:num w:numId="4">
    <w:abstractNumId w:val="6"/>
  </w:num>
  <w:num w:numId="5">
    <w:abstractNumId w:val="4"/>
  </w:num>
  <w:num w:numId="6">
    <w:abstractNumId w:val="14"/>
  </w:num>
  <w:num w:numId="7">
    <w:abstractNumId w:val="17"/>
  </w:num>
  <w:num w:numId="8">
    <w:abstractNumId w:val="27"/>
  </w:num>
  <w:num w:numId="9">
    <w:abstractNumId w:val="13"/>
  </w:num>
  <w:num w:numId="10">
    <w:abstractNumId w:val="0"/>
  </w:num>
  <w:num w:numId="11">
    <w:abstractNumId w:val="18"/>
  </w:num>
  <w:num w:numId="12">
    <w:abstractNumId w:val="24"/>
  </w:num>
  <w:num w:numId="13">
    <w:abstractNumId w:val="7"/>
  </w:num>
  <w:num w:numId="14">
    <w:abstractNumId w:val="22"/>
  </w:num>
  <w:num w:numId="15">
    <w:abstractNumId w:val="11"/>
  </w:num>
  <w:num w:numId="16">
    <w:abstractNumId w:val="16"/>
  </w:num>
  <w:num w:numId="17">
    <w:abstractNumId w:val="10"/>
  </w:num>
  <w:num w:numId="18">
    <w:abstractNumId w:val="9"/>
  </w:num>
  <w:num w:numId="19">
    <w:abstractNumId w:val="2"/>
  </w:num>
  <w:num w:numId="20">
    <w:abstractNumId w:val="21"/>
  </w:num>
  <w:num w:numId="21">
    <w:abstractNumId w:val="25"/>
  </w:num>
  <w:num w:numId="22">
    <w:abstractNumId w:val="15"/>
  </w:num>
  <w:num w:numId="23">
    <w:abstractNumId w:val="20"/>
  </w:num>
  <w:num w:numId="24">
    <w:abstractNumId w:val="3"/>
  </w:num>
  <w:num w:numId="25">
    <w:abstractNumId w:val="29"/>
  </w:num>
  <w:num w:numId="26">
    <w:abstractNumId w:val="28"/>
  </w:num>
  <w:num w:numId="27">
    <w:abstractNumId w:val="5"/>
  </w:num>
  <w:num w:numId="28">
    <w:abstractNumId w:val="26"/>
  </w:num>
  <w:num w:numId="29">
    <w:abstractNumId w:val="1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DC659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4</TotalTime>
  <ScaleCrop>false</ScaleCrop>
  <LinksUpToDate>false</LinksUpToDate>
  <Application>WPS Office_11.8.2.12287_F1E327BC-269C-435d-A152-05C5408002CA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2026-03-06T00:51:00Z</dcterms:created>
  <dc:creator>Apache POI</dc:creator>
  <cp:lastModifiedBy>徐</cp:lastModifiedBy>
  <dcterms:modified xsi:type="dcterms:W3CDTF">2026-03-06T01:07:03Z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2052-11.8.2.12287</vt:lpwstr>
  </property>
  <property fmtid="{D5CDD505-2E9C-101B-9397-08002B2CF9AE}" pid="3" name="ICV">
    <vt:lpwstr>D2FDD044252848CEB397CFE3E08E6586</vt:lpwstr>
  </property>
</Properties>
</file>