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 on Two Figures</w:t>
      </w:r>
    </w:p>
    <w:p>
      <w:pPr>
        <w:pStyle w:val="Heading1"/>
      </w:pPr>
      <w:r>
        <w:t>1. Introduction</w:t>
      </w:r>
    </w:p>
    <w:p>
      <w:r>
        <w:t>This document exists to check that a parser keeps two figures where the author put them: each figure sits between the paragraph that introduces it and its caption, under a numbered heading.</w:t>
      </w:r>
    </w:p>
    <w:p>
      <w:pPr>
        <w:pStyle w:val="Heading2"/>
      </w:pPr>
      <w:r>
        <w:t>1.1 Scope</w:t>
      </w:r>
    </w:p>
    <w:p>
      <w:r>
        <w:t>The scope is deliberately narrow: two figures, two captions, one small hierarchy of headings.</w:t>
      </w:r>
    </w:p>
    <w:p>
      <w:pPr>
        <w:pStyle w:val="Heading1"/>
      </w:pPr>
      <w:r>
        <w:t>2. The Figures</w:t>
      </w:r>
    </w:p>
    <w:p>
      <w:pPr>
        <w:pStyle w:val="Heading2"/>
      </w:pPr>
      <w:r>
        <w:t>2.1 The First Figure</w:t>
      </w:r>
    </w:p>
    <w:p>
      <w:r>
        <w:t>The first figure follows this paragraph. It is a plain blue rectangle with a white label, so any picture classifier should call it a graphic rather than a photograph.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A blue rectangle labelled A, drawn for this fixture.</w:t>
      </w:r>
    </w:p>
    <w:p>
      <w:r>
        <w:t>After the first figure the text continues with an unrelated remark about the weather, which was mild for the season and made the field survey easier than the previous year.</w:t>
      </w:r>
    </w:p>
    <w:p>
      <w:pPr>
        <w:pStyle w:val="Heading2"/>
      </w:pPr>
      <w:r>
        <w:t>2.2 The Second Figure</w:t>
      </w:r>
    </w:p>
    <w:p>
      <w:r>
        <w:t>The second figure follows this paragraph and is orange. It should not be merged with the first figure, and its caption must stay below it rather than above.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An orange rectangle labelled B, drawn for this fixture.</w:t>
      </w:r>
    </w:p>
    <w:p>
      <w:r>
        <w:t>With both figures placed, the closing section sums up what a reader should have seen: two headings at level one, three at level two, two pictures and two captions.</w:t>
      </w:r>
    </w:p>
    <w:p>
      <w:pPr>
        <w:pStyle w:val="Heading1"/>
      </w:pPr>
      <w:r>
        <w:t>3. Conclusion</w:t>
      </w:r>
    </w:p>
    <w:p>
      <w:r>
        <w:t>Nothing in this document is copied from another source; the prose was written for the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Notes on Two Figures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