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intelligence2.xml" ContentType="application/vnd.ms-office.intelligence2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4D7B40" w14:textId="27278B80" w:rsidR="7A1699F2" w:rsidRPr="00C12884" w:rsidRDefault="7A1699F2" w:rsidP="36885F8C">
      <w:pPr>
        <w:rPr>
          <w:rFonts w:asciiTheme="minorHAnsi" w:hAnsiTheme="minorHAnsi"/>
          <w:color w:val="002F59"/>
          <w:sz w:val="24"/>
          <w:szCs w:val="24"/>
          <w:lang w:val="es-ES"/>
        </w:rPr>
      </w:pPr>
    </w:p>
    <w:p w14:paraId="5951E329" w14:textId="210A5063" w:rsidR="36885F8C" w:rsidRDefault="36885F8C" w:rsidP="36885F8C">
      <w:pPr>
        <w:rPr>
          <w:rFonts w:asciiTheme="minorHAnsi" w:hAnsiTheme="minorHAnsi"/>
          <w:color w:val="002F59"/>
          <w:sz w:val="24"/>
          <w:szCs w:val="24"/>
          <w:lang w:val="es-ES"/>
        </w:rPr>
      </w:pPr>
    </w:p>
    <w:p w14:paraId="5DEFBD35" w14:textId="77777777" w:rsidR="00021B06" w:rsidRPr="000D0130" w:rsidRDefault="00021B06" w:rsidP="000D0130">
      <w:pPr>
        <w:rPr>
          <w:rFonts w:asciiTheme="minorHAnsi" w:hAnsiTheme="minorHAnsi"/>
          <w:color w:val="002F59"/>
          <w:sz w:val="24"/>
          <w:szCs w:val="24"/>
          <w:lang w:val="es-ES"/>
        </w:rPr>
      </w:pPr>
    </w:p>
    <w:p w14:paraId="513A7BA9" w14:textId="77777777" w:rsidR="00021B06" w:rsidRPr="000D0130" w:rsidRDefault="00021B06" w:rsidP="000D0130">
      <w:pPr>
        <w:rPr>
          <w:rFonts w:asciiTheme="minorHAnsi" w:hAnsiTheme="minorHAnsi"/>
          <w:color w:val="002F59"/>
          <w:sz w:val="24"/>
          <w:szCs w:val="24"/>
          <w:lang w:val="es-ES"/>
        </w:rPr>
      </w:pPr>
    </w:p>
    <w:p w14:paraId="4BA6E154" w14:textId="77777777" w:rsidR="00021B06" w:rsidRPr="000D0130" w:rsidRDefault="00021B06" w:rsidP="000D0130">
      <w:pPr>
        <w:rPr>
          <w:rFonts w:asciiTheme="minorHAnsi" w:hAnsiTheme="minorHAnsi"/>
          <w:color w:val="002F59"/>
          <w:sz w:val="24"/>
          <w:szCs w:val="24"/>
          <w:lang w:val="es-ES"/>
        </w:rPr>
      </w:pPr>
    </w:p>
    <w:p w14:paraId="5C1F32AC" w14:textId="77777777" w:rsidR="00021B06" w:rsidRPr="000D0130" w:rsidRDefault="00021B06" w:rsidP="000D0130">
      <w:pPr>
        <w:rPr>
          <w:rFonts w:asciiTheme="minorHAnsi" w:hAnsiTheme="minorHAnsi"/>
          <w:color w:val="002F59"/>
          <w:sz w:val="24"/>
          <w:szCs w:val="24"/>
          <w:lang w:val="es-ES"/>
        </w:rPr>
      </w:pPr>
    </w:p>
    <w:p w14:paraId="33E7E48D" w14:textId="77777777" w:rsidR="00021B06" w:rsidRPr="000D0130" w:rsidRDefault="00021B06" w:rsidP="000D0130">
      <w:pPr>
        <w:rPr>
          <w:rFonts w:asciiTheme="minorHAnsi" w:hAnsiTheme="minorHAnsi"/>
          <w:color w:val="002F59"/>
          <w:sz w:val="24"/>
          <w:szCs w:val="24"/>
          <w:lang w:val="es-ES"/>
        </w:rPr>
      </w:pPr>
    </w:p>
    <w:p w14:paraId="0E6374C7" w14:textId="77777777" w:rsidR="00021B06" w:rsidRPr="000D0130" w:rsidRDefault="00021B06" w:rsidP="00021B06">
      <w:pPr>
        <w:rPr>
          <w:rFonts w:asciiTheme="minorHAnsi" w:hAnsiTheme="minorHAnsi"/>
          <w:color w:val="002F59"/>
          <w:sz w:val="24"/>
          <w:szCs w:val="24"/>
          <w:lang w:val="es-ES"/>
        </w:rPr>
      </w:pPr>
    </w:p>
    <w:p w14:paraId="1883AE31" w14:textId="77777777" w:rsidR="00021B06" w:rsidRPr="000D0130" w:rsidRDefault="00021B06" w:rsidP="00021B06">
      <w:pPr>
        <w:rPr>
          <w:rFonts w:asciiTheme="minorHAnsi" w:hAnsiTheme="minorHAnsi"/>
          <w:color w:val="002F59"/>
          <w:sz w:val="24"/>
          <w:szCs w:val="24"/>
          <w:lang w:val="es-ES"/>
        </w:rPr>
      </w:pPr>
    </w:p>
    <w:p w14:paraId="0EBE549D" w14:textId="77777777" w:rsidR="00021B06" w:rsidRPr="000D0130" w:rsidRDefault="00021B06" w:rsidP="00021B06">
      <w:pPr>
        <w:rPr>
          <w:rFonts w:asciiTheme="minorHAnsi" w:hAnsiTheme="minorHAnsi"/>
          <w:color w:val="002F59"/>
          <w:sz w:val="24"/>
          <w:szCs w:val="24"/>
          <w:lang w:val="es-ES"/>
        </w:rPr>
      </w:pPr>
    </w:p>
    <w:p w14:paraId="36C0B11A" w14:textId="77777777" w:rsidR="00021B06" w:rsidRDefault="00021B06" w:rsidP="00021B06">
      <w:pPr>
        <w:rPr>
          <w:rFonts w:asciiTheme="minorHAnsi" w:hAnsiTheme="minorHAnsi"/>
          <w:color w:val="002F59"/>
          <w:sz w:val="24"/>
          <w:szCs w:val="24"/>
          <w:lang w:val="es-ES"/>
        </w:rPr>
      </w:pPr>
    </w:p>
    <w:p w14:paraId="6E8F1EA5" w14:textId="77777777" w:rsidR="007F6845" w:rsidRDefault="007F6845" w:rsidP="00021B06">
      <w:pPr>
        <w:rPr>
          <w:rFonts w:asciiTheme="minorHAnsi" w:hAnsiTheme="minorHAnsi"/>
          <w:color w:val="002F59"/>
          <w:sz w:val="24"/>
          <w:szCs w:val="24"/>
          <w:lang w:val="es-ES"/>
        </w:rPr>
      </w:pPr>
    </w:p>
    <w:p w14:paraId="67E51FD8" w14:textId="77777777" w:rsidR="007F6845" w:rsidRPr="000D0130" w:rsidRDefault="007F6845" w:rsidP="00021B06">
      <w:pPr>
        <w:rPr>
          <w:rFonts w:asciiTheme="minorHAnsi" w:hAnsiTheme="minorHAnsi"/>
          <w:color w:val="002F59"/>
          <w:sz w:val="24"/>
          <w:szCs w:val="24"/>
          <w:lang w:val="es-ES"/>
        </w:rPr>
      </w:pPr>
    </w:p>
    <w:p w14:paraId="1956F06A" w14:textId="77777777" w:rsidR="00021B06" w:rsidRPr="000D0130" w:rsidRDefault="00021B06" w:rsidP="00021B06">
      <w:pPr>
        <w:rPr>
          <w:rFonts w:asciiTheme="minorHAnsi" w:hAnsiTheme="minorHAnsi"/>
          <w:color w:val="002F59"/>
          <w:sz w:val="24"/>
          <w:szCs w:val="24"/>
          <w:lang w:val="es-ES"/>
        </w:rPr>
      </w:pPr>
    </w:p>
    <w:p w14:paraId="586437DD" w14:textId="77777777" w:rsidR="00021B06" w:rsidRDefault="00021B06" w:rsidP="00021B06">
      <w:pPr>
        <w:rPr>
          <w:rFonts w:asciiTheme="minorHAnsi" w:hAnsiTheme="minorHAnsi"/>
          <w:color w:val="002F59"/>
          <w:sz w:val="24"/>
          <w:szCs w:val="24"/>
          <w:lang w:val="es-ES"/>
        </w:rPr>
      </w:pPr>
    </w:p>
    <w:p w14:paraId="2FFDA2B8" w14:textId="77777777" w:rsidR="007F6845" w:rsidRDefault="007F6845" w:rsidP="00021B06">
      <w:pPr>
        <w:rPr>
          <w:rFonts w:asciiTheme="minorHAnsi" w:hAnsiTheme="minorHAnsi"/>
          <w:color w:val="002F59"/>
          <w:sz w:val="24"/>
          <w:szCs w:val="24"/>
          <w:lang w:val="es-ES"/>
        </w:rPr>
      </w:pPr>
    </w:p>
    <w:p w14:paraId="4285FCD0" w14:textId="77777777" w:rsidR="007F6845" w:rsidRDefault="007F6845" w:rsidP="00021B06">
      <w:pPr>
        <w:rPr>
          <w:rFonts w:asciiTheme="minorHAnsi" w:hAnsiTheme="minorHAnsi"/>
          <w:color w:val="002F59"/>
          <w:sz w:val="24"/>
          <w:szCs w:val="24"/>
          <w:lang w:val="es-ES"/>
        </w:rPr>
      </w:pPr>
    </w:p>
    <w:p w14:paraId="28BA1F11" w14:textId="77777777" w:rsidR="007F6845" w:rsidRDefault="007F6845" w:rsidP="00021B06">
      <w:pPr>
        <w:rPr>
          <w:rFonts w:asciiTheme="minorHAnsi" w:hAnsiTheme="minorHAnsi"/>
          <w:color w:val="002F59"/>
          <w:sz w:val="24"/>
          <w:szCs w:val="24"/>
          <w:lang w:val="es-ES"/>
        </w:rPr>
      </w:pPr>
    </w:p>
    <w:p w14:paraId="3A3DC008" w14:textId="77777777" w:rsidR="00021B06" w:rsidRPr="007F6845" w:rsidRDefault="00021B06" w:rsidP="00021B06">
      <w:pPr>
        <w:rPr>
          <w:rFonts w:asciiTheme="minorHAnsi" w:hAnsiTheme="minorHAnsi"/>
          <w:color w:val="002F59"/>
          <w:sz w:val="24"/>
          <w:szCs w:val="24"/>
          <w:lang w:val="es-ES"/>
        </w:rPr>
      </w:pPr>
    </w:p>
    <w:p w14:paraId="6DFCB763" w14:textId="708CD9B2" w:rsidR="00021B06" w:rsidRPr="007F6845" w:rsidRDefault="00021B06" w:rsidP="7385EFB3">
      <w:pPr>
        <w:rPr>
          <w:rFonts w:asciiTheme="minorHAnsi" w:hAnsiTheme="minorHAnsi"/>
          <w:color w:val="002F59"/>
          <w:sz w:val="24"/>
          <w:szCs w:val="24"/>
          <w:lang w:val="es-ES"/>
        </w:rPr>
      </w:pPr>
    </w:p>
    <w:p w14:paraId="37AE5FDC" w14:textId="6DF109E2" w:rsidR="5427178F" w:rsidRDefault="001F721A" w:rsidP="2454E6F0">
      <w:pPr>
        <w:widowControl w:val="0"/>
        <w:ind w:left="283"/>
        <w:jc w:val="center"/>
      </w:pPr>
      <w:r>
        <w:rPr>
          <w:rFonts w:asciiTheme="majorHAnsi" w:eastAsia="Poppins ExtraBold" w:hAnsiTheme="majorHAnsi" w:cs="Poppins ExtraBold"/>
          <w:color w:val="002F59"/>
          <w:sz w:val="66"/>
          <w:szCs w:val="66"/>
          <w:lang w:val="es-ES"/>
        </w:rPr>
      </w:r>
    </w:p>
    <w:p w14:paraId="690799B2" w14:textId="77777777" w:rsidR="00021B06" w:rsidRPr="00C12884" w:rsidRDefault="00021B06" w:rsidP="007F6845">
      <w:pPr>
        <w:widowControl w:val="0"/>
        <w:jc w:val="left"/>
        <w:rPr>
          <w:rFonts w:asciiTheme="minorHAnsi" w:hAnsiTheme="minorHAnsi"/>
          <w:sz w:val="29"/>
          <w:szCs w:val="29"/>
        </w:rPr>
      </w:pPr>
    </w:p>
    <w:p w14:paraId="63A0223F" w14:textId="77777777" w:rsidR="00021B06" w:rsidRPr="00C12884" w:rsidRDefault="00021B06" w:rsidP="00021B06">
      <w:pPr>
        <w:widowControl w:val="0"/>
        <w:jc w:val="left"/>
        <w:rPr>
          <w:rFonts w:asciiTheme="minorHAnsi" w:hAnsiTheme="minorHAnsi"/>
          <w:sz w:val="29"/>
          <w:szCs w:val="29"/>
        </w:rPr>
      </w:pPr>
    </w:p>
    <w:p w14:paraId="114EA9E6" w14:textId="77777777" w:rsidR="00021B06" w:rsidRDefault="00021B06" w:rsidP="00021B06">
      <w:pPr>
        <w:widowControl w:val="0"/>
        <w:jc w:val="left"/>
        <w:rPr>
          <w:rFonts w:asciiTheme="minorHAnsi" w:hAnsiTheme="minorHAnsi"/>
          <w:sz w:val="29"/>
          <w:szCs w:val="29"/>
        </w:rPr>
      </w:pPr>
    </w:p>
    <w:p w14:paraId="2A622D42" w14:textId="77777777" w:rsidR="007F6845" w:rsidRDefault="007F6845" w:rsidP="00021B06">
      <w:pPr>
        <w:widowControl w:val="0"/>
        <w:jc w:val="left"/>
        <w:rPr>
          <w:rFonts w:asciiTheme="minorHAnsi" w:hAnsiTheme="minorHAnsi"/>
          <w:sz w:val="29"/>
          <w:szCs w:val="29"/>
        </w:rPr>
      </w:pPr>
    </w:p>
    <w:p w14:paraId="271609BF" w14:textId="77777777" w:rsidR="007F6845" w:rsidRDefault="007F6845" w:rsidP="00021B06">
      <w:pPr>
        <w:widowControl w:val="0"/>
        <w:jc w:val="left"/>
        <w:rPr>
          <w:rFonts w:asciiTheme="minorHAnsi" w:hAnsiTheme="minorHAnsi"/>
          <w:sz w:val="29"/>
          <w:szCs w:val="29"/>
        </w:rPr>
      </w:pPr>
    </w:p>
    <w:p w14:paraId="4BA738E8" w14:textId="77777777" w:rsidR="007F6845" w:rsidRDefault="007F6845" w:rsidP="00021B06">
      <w:pPr>
        <w:widowControl w:val="0"/>
        <w:jc w:val="left"/>
        <w:rPr>
          <w:rFonts w:asciiTheme="minorHAnsi" w:hAnsiTheme="minorHAnsi"/>
          <w:sz w:val="29"/>
          <w:szCs w:val="29"/>
        </w:rPr>
      </w:pPr>
    </w:p>
    <w:p w14:paraId="31D91963" w14:textId="77777777" w:rsidR="007F6845" w:rsidRDefault="007F6845" w:rsidP="00021B06">
      <w:pPr>
        <w:widowControl w:val="0"/>
        <w:jc w:val="left"/>
        <w:rPr>
          <w:rFonts w:asciiTheme="minorHAnsi" w:hAnsiTheme="minorHAnsi"/>
          <w:sz w:val="29"/>
          <w:szCs w:val="29"/>
        </w:rPr>
      </w:pPr>
    </w:p>
    <w:p w14:paraId="22BBFD66" w14:textId="77777777" w:rsidR="007F6845" w:rsidRDefault="007F6845" w:rsidP="00021B06">
      <w:pPr>
        <w:widowControl w:val="0"/>
        <w:jc w:val="left"/>
        <w:rPr>
          <w:rFonts w:asciiTheme="minorHAnsi" w:hAnsiTheme="minorHAnsi"/>
          <w:sz w:val="29"/>
          <w:szCs w:val="29"/>
        </w:rPr>
      </w:pPr>
    </w:p>
    <w:p w14:paraId="149380D7" w14:textId="77777777" w:rsidR="007F6845" w:rsidRDefault="007F6845" w:rsidP="00021B06">
      <w:pPr>
        <w:widowControl w:val="0"/>
        <w:jc w:val="left"/>
        <w:rPr>
          <w:rFonts w:asciiTheme="minorHAnsi" w:hAnsiTheme="minorHAnsi"/>
          <w:sz w:val="29"/>
          <w:szCs w:val="29"/>
        </w:rPr>
      </w:pPr>
    </w:p>
    <w:p w14:paraId="324A08F1" w14:textId="77777777" w:rsidR="007F6845" w:rsidRDefault="007F6845" w:rsidP="00021B06">
      <w:pPr>
        <w:widowControl w:val="0"/>
        <w:jc w:val="left"/>
        <w:rPr>
          <w:rFonts w:asciiTheme="minorHAnsi" w:hAnsiTheme="minorHAnsi"/>
          <w:sz w:val="29"/>
          <w:szCs w:val="29"/>
        </w:rPr>
      </w:pPr>
    </w:p>
    <w:p w14:paraId="595076C3" w14:textId="77777777" w:rsidR="007F6845" w:rsidRPr="00C12884" w:rsidRDefault="007F6845" w:rsidP="00021B06">
      <w:pPr>
        <w:widowControl w:val="0"/>
        <w:jc w:val="left"/>
        <w:rPr>
          <w:rFonts w:asciiTheme="minorHAnsi" w:hAnsiTheme="minorHAnsi"/>
          <w:sz w:val="29"/>
          <w:szCs w:val="29"/>
        </w:rPr>
      </w:pPr>
    </w:p>
    <w:p w14:paraId="11D89C52" w14:textId="46E1F673" w:rsidR="00021B06" w:rsidRPr="00C12884" w:rsidRDefault="00021B06" w:rsidP="7385EFB3">
      <w:pPr>
        <w:widowControl w:val="0"/>
        <w:jc w:val="left"/>
        <w:rPr>
          <w:rFonts w:asciiTheme="minorHAnsi" w:hAnsiTheme="minorHAnsi"/>
          <w:sz w:val="29"/>
          <w:szCs w:val="29"/>
        </w:rPr>
      </w:pPr>
    </w:p>
    <w:p w14:paraId="3DF1BF5E" w14:textId="7EE8FE50" w:rsidR="00021B06" w:rsidRPr="000D0130" w:rsidRDefault="00021B06" w:rsidP="00021B06">
      <w:pPr>
        <w:widowControl w:val="0"/>
        <w:ind w:left="-141"/>
        <w:jc w:val="center"/>
        <w:rPr>
          <w:rFonts w:asciiTheme="majorHAnsi" w:eastAsia="Roboto Black" w:hAnsiTheme="majorHAnsi" w:cs="Roboto Black"/>
          <w:sz w:val="18"/>
          <w:szCs w:val="18"/>
        </w:rPr>
      </w:pPr>
      <w:r w:rsidRPr="000D0130">
        <w:rPr>
          <w:rFonts w:asciiTheme="majorHAnsi" w:hAnsiTheme="majorHAnsi"/>
        </w:rPr>
      </w:r>
    </w:p>
    <w:p w14:paraId="7E476138" w14:textId="090D6F9D" w:rsidR="00021B06" w:rsidRDefault="001F721A" w:rsidP="00B34570">
      <w:pPr>
        <w:pStyle w:val="Ttulo1"/>
        <w:rPr>
          <w:color w:val="002F59"/>
        </w:rPr>
      </w:pPr>
      <w:bookmarkStart w:id="0" w:name="_ro8izzgs65yl" w:colFirst="0" w:colLast="0"/>
      <w:bookmarkEnd w:id="0"/>
      <w:proofErr w:type="spellStart"/>
      <w:r>
        <w:rPr>
          <w:color w:val="002F59"/>
        </w:rPr>
      </w:r>
      <w:proofErr w:type="spellEnd"/>
    </w:p>
    <w:p w14:paraId="78A2DAEA" w14:textId="77777777" w:rsidR="001F721A" w:rsidRDefault="001F721A" w:rsidP="001F721A">
      <w:pPr>
        <w:rPr>
          <w:rFonts w:asciiTheme="minorHAnsi" w:hAnsiTheme="minorHAnsi"/>
          <w:lang w:val="es-ES"/>
        </w:rPr>
      </w:pPr>
    </w:p>
    <w:p w14:paraId="39DD301D" w14:textId="0917FF1E" w:rsidR="001F721A" w:rsidRPr="001F721A" w:rsidRDefault="001F721A" w:rsidP="001F721A">
      <w:pPr>
        <w:rPr>
          <w:rFonts w:asciiTheme="minorHAnsi" w:hAnsiTheme="minorHAnsi"/>
          <w:lang w:val="es-ES"/>
        </w:rPr>
      </w:pPr>
      <w:r w:rsidRPr="001F721A">
        <w:rPr>
          <w:rFonts w:asciiTheme="minorHAnsi" w:hAnsiTheme="minorHAnsi"/>
          <w:lang w:val="es-ES"/>
        </w:rPr>
      </w:r>
    </w:p>
    <w:p w14:paraId="27DF3ABD" w14:textId="77777777" w:rsidR="001F721A" w:rsidRPr="001F721A" w:rsidRDefault="001F721A" w:rsidP="001F721A">
      <w:pPr>
        <w:rPr>
          <w:lang w:val="es-ES"/>
        </w:rPr>
      </w:pPr>
    </w:p>
    <w:p w14:paraId="3B920911" w14:textId="52F0A312" w:rsidR="00021B06" w:rsidRPr="000756E1" w:rsidRDefault="001F721A" w:rsidP="00B34570">
      <w:pPr>
        <w:pStyle w:val="Ttulo1"/>
        <w:rPr>
          <w:color w:val="002F59"/>
        </w:rPr>
      </w:pPr>
      <w:r>
        <w:rPr>
          <w:color w:val="002F59"/>
        </w:rPr>
      </w:r>
    </w:p>
    <w:p w14:paraId="6C72B25B" w14:textId="2EE004C8" w:rsidR="00021B06" w:rsidRPr="00C12884" w:rsidRDefault="001F721A" w:rsidP="00021B06">
      <w:pPr>
        <w:rPr>
          <w:rFonts w:asciiTheme="minorHAnsi" w:hAnsiTheme="minorHAnsi"/>
        </w:rPr>
      </w:pPr>
      <w:r w:rsidRPr="001F721A">
        <w:rPr>
          <w:rFonts w:asciiTheme="minorHAnsi" w:hAnsiTheme="minorHAnsi"/>
          <w:lang w:val="es-ES"/>
        </w:rPr>
      </w:r>
    </w:p>
    <w:p w14:paraId="4CD2A51A" w14:textId="75E18C03" w:rsidR="00021B06" w:rsidRPr="00A40427" w:rsidRDefault="00021B06" w:rsidP="00B34570">
      <w:pPr>
        <w:pStyle w:val="Ttulo1"/>
        <w:rPr>
          <w:color w:val="002F59"/>
        </w:rPr>
      </w:pPr>
      <w:r w:rsidRPr="00A40427">
        <w:rPr>
          <w:color w:val="002F59"/>
        </w:rPr>
      </w:r>
      <w:r w:rsidR="003A26DA">
        <w:rPr>
          <w:color w:val="002F59"/>
        </w:rPr>
      </w:r>
    </w:p>
    <w:p w14:paraId="200FBBA1" w14:textId="446ABF1A" w:rsidR="00275B7B" w:rsidRPr="00C12884" w:rsidRDefault="03BA8A38" w:rsidP="36885F8C">
      <w:pPr>
        <w:rPr>
          <w:rFonts w:asciiTheme="minorHAnsi" w:hAnsiTheme="minorHAnsi"/>
          <w:lang w:val="es-ES"/>
        </w:rPr>
      </w:pPr>
      <w:r w:rsidRPr="61479FB2">
        <w:rPr>
          <w:rFonts w:asciiTheme="minorHAnsi" w:hAnsiTheme="minorHAnsi"/>
          <w:lang w:val="es-ES"/>
        </w:rPr>
      </w:r>
    </w:p>
    <w:p w14:paraId="27FB0B1C" w14:textId="3886B37E" w:rsidR="7D352052" w:rsidRDefault="7D352052" w:rsidP="7D352052">
      <w:pPr>
        <w:pStyle w:val="Prrafodelista"/>
        <w:rPr>
          <w:rFonts w:asciiTheme="minorHAnsi" w:hAnsiTheme="minorHAnsi"/>
          <w:lang w:val="es-ES"/>
        </w:rPr>
      </w:pPr>
    </w:p>
    <w:p w14:paraId="403E6D85" w14:textId="77777777" w:rsidR="00275B7B" w:rsidRPr="00C12884" w:rsidRDefault="00275B7B" w:rsidP="7A1699F2">
      <w:pPr>
        <w:rPr>
          <w:rFonts w:asciiTheme="minorHAnsi" w:hAnsiTheme="minorHAnsi"/>
          <w:color w:val="002F59"/>
          <w:sz w:val="24"/>
          <w:szCs w:val="24"/>
          <w:lang w:val="es-ES"/>
        </w:rPr>
      </w:pPr>
    </w:p>
    <w:p/>
    <w:p/>
    <w:p/>
    <w:p>
      <w:pPr>
        <w:spacing w:after="240"/>
        <w:jc w:val="center"/>
      </w:pPr>
      <w:r>
        <w:rPr>
          <w:rFonts w:ascii="Calibri" w:hAnsi="Calibri"/>
          <w:b/>
          <w:color w:val="003059"/>
          <w:sz w:val="44"/>
        </w:rPr>
        <w:t>INFORME DE CARGA DE PROJECT MANAGERS</w:t>
      </w:r>
    </w:p>
    <w:p>
      <w:pPr>
        <w:spacing w:after="160"/>
        <w:jc w:val="center"/>
      </w:pPr>
      <w:r>
        <w:rPr>
          <w:rFonts w:ascii="Calibri" w:hAnsi="Calibri"/>
          <w:color w:val="0070C0"/>
          <w:sz w:val="28"/>
        </w:rPr>
        <w:t>Análisis de Utilización de Capacidad</w:t>
        <w:br/>
        <w:t>Marzo – Abril 2026</w:t>
      </w:r>
    </w:p>
    <w:p>
      <w:pPr>
        <w:jc w:val="center"/>
      </w:pPr>
      <w:r>
        <w:rPr>
          <w:rFonts w:ascii="Calibri" w:hAnsi="Calibri"/>
          <w:color w:val="595959"/>
          <w:sz w:val="22"/>
        </w:rPr>
        <w:t>Blend360 Colombia  |  PMO Operations  |  Abril 2026</w:t>
      </w:r>
    </w:p>
    <w:p>
      <w:r>
        <w:br w:type="page"/>
      </w:r>
    </w:p>
    <w:p>
      <w:pPr>
        <w:pStyle w:val="Ttulo1"/>
      </w:pPr>
      <w:r>
        <w:rPr>
          <w:rFonts w:ascii="Calibri" w:hAnsi="Calibri"/>
          <w:b/>
          <w:color w:val="003059"/>
          <w:sz w:val="32"/>
        </w:rPr>
        <w:t>1. Objetivo del Informe</w:t>
      </w:r>
    </w:p>
    <w:p>
      <w:pPr>
        <w:pBdr>
          <w:bottom w:val="single" w:sz="6" w:space="1" w:color="003059"/>
        </w:pBdr>
        <w:spacing w:after="120"/>
      </w:pPr>
    </w:p>
    <w:p>
      <w:pPr>
        <w:spacing w:before="0" w:after="160"/>
        <w:jc w:val="left"/>
      </w:pPr>
      <w:r>
        <w:rPr>
          <w:rFonts w:ascii="Calibri" w:hAnsi="Calibri"/>
          <w:b w:val="0"/>
          <w:i w:val="0"/>
          <w:sz w:val="22"/>
        </w:rPr>
        <w:t>El presente informe tiene como objetivo analizar la carga de trabajo de los Project Managers (PMs) de Blend360 Colombia durante los meses de marzo y abril de 2026, con base en las horas registradas en la plataforma OpenAir. Se evalúa la distribución de horas por proyecto, el nivel de utilización frente a la capacidad estándar de 44 horas semanales, y se identifican alertas y oportunidades de optimización en la asignación de proyectos.</w:t>
      </w:r>
    </w:p>
    <w:tbl>
      <w:tblPr>
        <w:tblStyle w:val="Tablaconcuadrcula"/>
        <w:tblW w:type="auto" w:w="0"/>
        <w:tblLook w:firstColumn="1" w:firstRow="1" w:lastColumn="0" w:lastRow="0" w:noHBand="0" w:noVBand="1" w:val="04A0"/>
      </w:tblPr>
      <w:tblGrid>
        <w:gridCol w:w="9026"/>
      </w:tblGrid>
      <w:tr>
        <w:tc>
          <w:tcPr>
            <w:tcW w:type="dxa" w:w="9026"/>
            <w:shd w:val="clear" w:color="auto" w:fill="BDD7EE"/>
          </w:tcPr>
          <w:p>
            <w:r>
              <w:rPr>
                <w:rFonts w:ascii="Calibri" w:hAnsi="Calibri"/>
                <w:b/>
                <w:color w:val="003059"/>
                <w:sz w:val="22"/>
              </w:rPr>
              <w:t>Parámetros de Análisis:</w:t>
              <w:br/>
            </w:r>
          </w:p>
          <w:p>
            <w:r>
              <w:rPr>
                <w:rFonts w:ascii="Calibri" w:hAnsi="Calibri"/>
                <w:sz w:val="20"/>
              </w:rPr>
              <w:t>• Capacidad estándar: 44 horas por semana por PM</w:t>
            </w:r>
          </w:p>
          <w:p>
            <w:r>
              <w:rPr>
                <w:rFonts w:ascii="Calibri" w:hAnsi="Calibri"/>
                <w:sz w:val="20"/>
              </w:rPr>
              <w:t>• Período de análisis: 1 de marzo al 30 de abril de 2026</w:t>
            </w:r>
          </w:p>
          <w:p>
            <w:r>
              <w:rPr>
                <w:rFonts w:ascii="Calibri" w:hAnsi="Calibri"/>
                <w:sz w:val="20"/>
              </w:rPr>
              <w:t>• Capacidad marzo: 193.6 horas (4.4 semanas)</w:t>
            </w:r>
          </w:p>
          <w:p>
            <w:r>
              <w:rPr>
                <w:rFonts w:ascii="Calibri" w:hAnsi="Calibri"/>
                <w:sz w:val="20"/>
              </w:rPr>
              <w:t>• Fuente de datos: OpenAir – Reporte de horas (39 semanas)</w:t>
            </w:r>
          </w:p>
          <w:p>
            <w:r>
              <w:rPr>
                <w:rFonts w:ascii="Calibri" w:hAnsi="Calibri"/>
                <w:sz w:val="20"/>
              </w:rPr>
              <w:t>• Total de PMs analizados: 9 Project Managers activos</w:t>
            </w:r>
          </w:p>
        </w:tc>
      </w:tr>
    </w:tbl>
    <w:p/>
    <w:p>
      <w:pPr>
        <w:pStyle w:val="Ttulo1"/>
      </w:pPr>
      <w:r>
        <w:rPr>
          <w:rFonts w:ascii="Calibri" w:hAnsi="Calibri"/>
          <w:b/>
          <w:color w:val="003059"/>
          <w:sz w:val="32"/>
        </w:rPr>
        <w:t>2. Resumen Ejecutivo</w:t>
      </w:r>
    </w:p>
    <w:p>
      <w:pPr>
        <w:pBdr>
          <w:bottom w:val="single" w:sz="6" w:space="1" w:color="003059"/>
        </w:pBdr>
        <w:spacing w:after="120"/>
      </w:pPr>
    </w:p>
    <w:p>
      <w:pPr>
        <w:spacing w:before="0" w:after="160"/>
        <w:jc w:val="left"/>
      </w:pPr>
      <w:r>
        <w:rPr>
          <w:rFonts w:ascii="Calibri" w:hAnsi="Calibri"/>
          <w:b w:val="0"/>
          <w:i w:val="0"/>
          <w:sz w:val="22"/>
        </w:rPr>
        <w:t>Durante marzo de 2026, los 9 PMs activos de Blend360 Colombia registraron en total 1,760 horas de trabajo distribuidas entre proyectos facturables, actividades internas y ausencias. El análisis revela que el equipo opera en su mayoría al límite de su capacidad disponible (194 horas/mes por PM).</w:t>
      </w:r>
    </w:p>
    <w:p>
      <w:pPr>
        <w:pStyle w:val="Ttulo2"/>
      </w:pPr>
      <w:r>
        <w:rPr>
          <w:rFonts w:ascii="Calibri" w:hAnsi="Calibri"/>
          <w:b/>
          <w:color w:val="0070C0"/>
          <w:sz w:val="26"/>
        </w:rPr>
        <w:t>Tabla Resumen – Carga por PM</w:t>
      </w:r>
    </w:p>
    <w:tbl>
      <w:tblPr>
        <w:tblStyle w:val="Tablaconcuadrcula"/>
        <w:tblW w:type="auto" w:w="0"/>
        <w:jc w:val="center"/>
        <w:tblLook w:firstColumn="1" w:firstRow="1" w:lastColumn="0" w:lastRow="0" w:noHBand="0" w:noVBand="1" w:val="04A0"/>
      </w:tblPr>
      <w:tblGrid>
        <w:gridCol w:w="1504"/>
        <w:gridCol w:w="1504"/>
        <w:gridCol w:w="1504"/>
        <w:gridCol w:w="1504"/>
        <w:gridCol w:w="1504"/>
        <w:gridCol w:w="1504"/>
      </w:tblGrid>
      <w:tr>
        <w:tc>
          <w:tcPr>
            <w:tcW w:type="dxa" w:w="3600"/>
            <w:shd w:val="clear" w:color="auto" w:fill="00305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Project Manager</w:t>
            </w:r>
          </w:p>
        </w:tc>
        <w:tc>
          <w:tcPr>
            <w:tcW w:type="dxa" w:w="1152"/>
            <w:shd w:val="clear" w:color="auto" w:fill="00305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Proy.</w:t>
              <w:br/>
              <w:t>Activos</w:t>
            </w:r>
          </w:p>
        </w:tc>
        <w:tc>
          <w:tcPr>
            <w:tcW w:type="dxa" w:w="1296"/>
            <w:shd w:val="clear" w:color="auto" w:fill="00305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Horas</w:t>
              <w:br/>
              <w:t>Marzo</w:t>
            </w:r>
          </w:p>
        </w:tc>
        <w:tc>
          <w:tcPr>
            <w:tcW w:type="dxa" w:w="1296"/>
            <w:shd w:val="clear" w:color="auto" w:fill="00305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% Cap.</w:t>
              <w:br/>
              <w:t>Marzo</w:t>
            </w:r>
          </w:p>
        </w:tc>
        <w:tc>
          <w:tcPr>
            <w:tcW w:type="dxa" w:w="1296"/>
            <w:shd w:val="clear" w:color="auto" w:fill="00305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Horas</w:t>
              <w:br/>
              <w:t>Abril</w:t>
            </w:r>
          </w:p>
        </w:tc>
        <w:tc>
          <w:tcPr>
            <w:tcW w:type="dxa" w:w="1728"/>
            <w:shd w:val="clear" w:color="auto" w:fill="00305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Estado</w:t>
            </w:r>
          </w:p>
        </w:tc>
      </w:tr>
      <w:tr>
        <w:tc>
          <w:tcPr>
            <w:tcW w:type="dxa" w:w="3600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8"/>
              </w:rPr>
              <w:t>Daniel Sebastian Vargas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14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194h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100.5%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115h</w:t>
            </w:r>
          </w:p>
        </w:tc>
        <w:tc>
          <w:tcPr>
            <w:tcW w:type="dxa" w:w="1728"/>
            <w:shd w:val="clear" w:color="auto" w:fill="FF4D4D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Sobrecargado</w:t>
            </w:r>
          </w:p>
        </w:tc>
      </w:tr>
      <w:tr>
        <w:tc>
          <w:tcPr>
            <w:tcW w:type="dxa" w:w="3600"/>
            <w:shd w:val="clear" w:color="auto" w:fill="F2F2F2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8"/>
              </w:rPr>
              <w:t>David Cortes</w:t>
            </w:r>
          </w:p>
        </w:tc>
        <w:tc>
          <w:tcPr>
            <w:tcW w:type="dxa" w:w="1152"/>
            <w:shd w:val="clear" w:color="auto" w:fill="F2F2F2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17</w:t>
            </w:r>
          </w:p>
        </w:tc>
        <w:tc>
          <w:tcPr>
            <w:tcW w:type="dxa" w:w="1296"/>
            <w:shd w:val="clear" w:color="auto" w:fill="F2F2F2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198h</w:t>
            </w:r>
          </w:p>
        </w:tc>
        <w:tc>
          <w:tcPr>
            <w:tcW w:type="dxa" w:w="1296"/>
            <w:shd w:val="clear" w:color="auto" w:fill="F2F2F2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102.3%</w:t>
            </w:r>
          </w:p>
        </w:tc>
        <w:tc>
          <w:tcPr>
            <w:tcW w:type="dxa" w:w="1296"/>
            <w:shd w:val="clear" w:color="auto" w:fill="F2F2F2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71h</w:t>
            </w:r>
          </w:p>
        </w:tc>
        <w:tc>
          <w:tcPr>
            <w:tcW w:type="dxa" w:w="1728"/>
            <w:shd w:val="clear" w:color="auto" w:fill="FF4D4D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Sobrecargado</w:t>
            </w:r>
          </w:p>
        </w:tc>
      </w:tr>
      <w:tr>
        <w:tc>
          <w:tcPr>
            <w:tcW w:type="dxa" w:w="3600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8"/>
              </w:rPr>
              <w:t>Diana Castro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11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194h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100.2%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114h</w:t>
            </w:r>
          </w:p>
        </w:tc>
        <w:tc>
          <w:tcPr>
            <w:tcW w:type="dxa" w:w="1728"/>
            <w:shd w:val="clear" w:color="auto" w:fill="FF4D4D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Sobrecargado</w:t>
            </w:r>
          </w:p>
        </w:tc>
      </w:tr>
      <w:tr>
        <w:tc>
          <w:tcPr>
            <w:tcW w:type="dxa" w:w="3600"/>
            <w:shd w:val="clear" w:color="auto" w:fill="F2F2F2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8"/>
              </w:rPr>
              <w:t>Diana Rojas</w:t>
            </w:r>
          </w:p>
        </w:tc>
        <w:tc>
          <w:tcPr>
            <w:tcW w:type="dxa" w:w="1152"/>
            <w:shd w:val="clear" w:color="auto" w:fill="F2F2F2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9</w:t>
            </w:r>
          </w:p>
        </w:tc>
        <w:tc>
          <w:tcPr>
            <w:tcW w:type="dxa" w:w="1296"/>
            <w:shd w:val="clear" w:color="auto" w:fill="F2F2F2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194h</w:t>
            </w:r>
          </w:p>
        </w:tc>
        <w:tc>
          <w:tcPr>
            <w:tcW w:type="dxa" w:w="1296"/>
            <w:shd w:val="clear" w:color="auto" w:fill="F2F2F2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100.2%</w:t>
            </w:r>
          </w:p>
        </w:tc>
        <w:tc>
          <w:tcPr>
            <w:tcW w:type="dxa" w:w="1296"/>
            <w:shd w:val="clear" w:color="auto" w:fill="F2F2F2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114h</w:t>
            </w:r>
          </w:p>
        </w:tc>
        <w:tc>
          <w:tcPr>
            <w:tcW w:type="dxa" w:w="1728"/>
            <w:shd w:val="clear" w:color="auto" w:fill="FF4D4D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Sobrecargado</w:t>
            </w:r>
          </w:p>
        </w:tc>
      </w:tr>
      <w:tr>
        <w:tc>
          <w:tcPr>
            <w:tcW w:type="dxa" w:w="3600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8"/>
              </w:rPr>
              <w:t>Indira Duarte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4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203h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104.9%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57h</w:t>
            </w:r>
          </w:p>
        </w:tc>
        <w:tc>
          <w:tcPr>
            <w:tcW w:type="dxa" w:w="1728"/>
            <w:shd w:val="clear" w:color="auto" w:fill="FF4D4D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Sobrecargado</w:t>
            </w:r>
          </w:p>
        </w:tc>
      </w:tr>
      <w:tr>
        <w:tc>
          <w:tcPr>
            <w:tcW w:type="dxa" w:w="3600"/>
            <w:shd w:val="clear" w:color="auto" w:fill="F2F2F2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8"/>
              </w:rPr>
              <w:t>Juan Bernal</w:t>
            </w:r>
          </w:p>
        </w:tc>
        <w:tc>
          <w:tcPr>
            <w:tcW w:type="dxa" w:w="1152"/>
            <w:shd w:val="clear" w:color="auto" w:fill="F2F2F2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26</w:t>
            </w:r>
          </w:p>
        </w:tc>
        <w:tc>
          <w:tcPr>
            <w:tcW w:type="dxa" w:w="1296"/>
            <w:shd w:val="clear" w:color="auto" w:fill="F2F2F2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194h</w:t>
            </w:r>
          </w:p>
        </w:tc>
        <w:tc>
          <w:tcPr>
            <w:tcW w:type="dxa" w:w="1296"/>
            <w:shd w:val="clear" w:color="auto" w:fill="F2F2F2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100.2%</w:t>
            </w:r>
          </w:p>
        </w:tc>
        <w:tc>
          <w:tcPr>
            <w:tcW w:type="dxa" w:w="1296"/>
            <w:shd w:val="clear" w:color="auto" w:fill="F2F2F2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53h</w:t>
            </w:r>
          </w:p>
        </w:tc>
        <w:tc>
          <w:tcPr>
            <w:tcW w:type="dxa" w:w="1728"/>
            <w:shd w:val="clear" w:color="auto" w:fill="FF4D4D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Sobrecargado</w:t>
            </w:r>
          </w:p>
        </w:tc>
      </w:tr>
      <w:tr>
        <w:tc>
          <w:tcPr>
            <w:tcW w:type="dxa" w:w="3600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8"/>
              </w:rPr>
              <w:t>Kelly Carbonell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14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194h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100.2%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70h</w:t>
            </w:r>
          </w:p>
        </w:tc>
        <w:tc>
          <w:tcPr>
            <w:tcW w:type="dxa" w:w="1728"/>
            <w:shd w:val="clear" w:color="auto" w:fill="FF4D4D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Sobrecargado</w:t>
            </w:r>
          </w:p>
        </w:tc>
      </w:tr>
      <w:tr>
        <w:tc>
          <w:tcPr>
            <w:tcW w:type="dxa" w:w="3600"/>
            <w:shd w:val="clear" w:color="auto" w:fill="F2F2F2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8"/>
              </w:rPr>
              <w:t>Miguel Garcia</w:t>
            </w:r>
          </w:p>
        </w:tc>
        <w:tc>
          <w:tcPr>
            <w:tcW w:type="dxa" w:w="1152"/>
            <w:shd w:val="clear" w:color="auto" w:fill="F2F2F2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15</w:t>
            </w:r>
          </w:p>
        </w:tc>
        <w:tc>
          <w:tcPr>
            <w:tcW w:type="dxa" w:w="1296"/>
            <w:shd w:val="clear" w:color="auto" w:fill="F2F2F2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194h</w:t>
            </w:r>
          </w:p>
        </w:tc>
        <w:tc>
          <w:tcPr>
            <w:tcW w:type="dxa" w:w="1296"/>
            <w:shd w:val="clear" w:color="auto" w:fill="F2F2F2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100.2%</w:t>
            </w:r>
          </w:p>
        </w:tc>
        <w:tc>
          <w:tcPr>
            <w:tcW w:type="dxa" w:w="1296"/>
            <w:shd w:val="clear" w:color="auto" w:fill="F2F2F2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114h</w:t>
            </w:r>
          </w:p>
        </w:tc>
        <w:tc>
          <w:tcPr>
            <w:tcW w:type="dxa" w:w="1728"/>
            <w:shd w:val="clear" w:color="auto" w:fill="FF4D4D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Sobrecargado</w:t>
            </w:r>
          </w:p>
        </w:tc>
      </w:tr>
      <w:tr>
        <w:tc>
          <w:tcPr>
            <w:tcW w:type="dxa" w:w="3600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8"/>
              </w:rPr>
              <w:t>Oscar Barragan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56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194h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100.2%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70h</w:t>
            </w:r>
          </w:p>
        </w:tc>
        <w:tc>
          <w:tcPr>
            <w:tcW w:type="dxa" w:w="1728"/>
            <w:shd w:val="clear" w:color="auto" w:fill="FF4D4D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Sobrecargado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75429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horas_pm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542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/>
        <w:jc w:val="center"/>
      </w:pPr>
      <w:r>
        <w:rPr>
          <w:rFonts w:ascii="Calibri" w:hAnsi="Calibri"/>
          <w:b w:val="0"/>
          <w:i/>
          <w:color w:val="595959"/>
          <w:sz w:val="18"/>
        </w:rPr>
        <w:t>Figura 1. Total de horas registradas por PM – Marzo vs Abril 2026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62987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utilizacion_marzo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6298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/>
        <w:jc w:val="center"/>
      </w:pPr>
      <w:r>
        <w:rPr>
          <w:rFonts w:ascii="Calibri" w:hAnsi="Calibri"/>
          <w:b w:val="0"/>
          <w:i/>
          <w:color w:val="595959"/>
          <w:sz w:val="18"/>
        </w:rPr>
        <w:t>Figura 2. Porcentaje de utilización de capacidad por PM – Marzo 2026</w:t>
      </w:r>
    </w:p>
    <w:p>
      <w:r>
        <w:br w:type="page"/>
      </w:r>
    </w:p>
    <w:p>
      <w:pPr>
        <w:pStyle w:val="Ttulo1"/>
      </w:pPr>
      <w:r>
        <w:rPr>
          <w:rFonts w:ascii="Calibri" w:hAnsi="Calibri"/>
          <w:b/>
          <w:color w:val="003059"/>
          <w:sz w:val="32"/>
        </w:rPr>
        <w:t>3. Análisis Detallado por Project Manager</w:t>
      </w:r>
    </w:p>
    <w:p>
      <w:pPr>
        <w:pBdr>
          <w:bottom w:val="single" w:sz="6" w:space="1" w:color="003059"/>
        </w:pBdr>
        <w:spacing w:after="120"/>
      </w:pPr>
    </w:p>
    <w:p>
      <w:pPr>
        <w:pStyle w:val="Ttulo2"/>
      </w:pPr>
      <w:r>
        <w:rPr>
          <w:rFonts w:ascii="Calibri" w:hAnsi="Calibri"/>
          <w:b/>
          <w:color w:val="0070C0"/>
          <w:sz w:val="26"/>
        </w:rPr>
        <w:t>3.1. Daniel Sebastian Vargas</w:t>
      </w:r>
    </w:p>
    <w:tbl>
      <w:tblPr>
        <w:tblStyle w:val="Tablaconcuadrcula"/>
        <w:tblW w:type="auto" w:w="0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c>
          <w:tcPr>
            <w:tcW w:type="dxa" w:w="2304"/>
            <w:shd w:val="clear" w:color="auto" w:fill="00305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Proyectos Activos</w:t>
              <w:br/>
            </w:r>
            <w:r>
              <w:rPr>
                <w:rFonts w:ascii="Calibri" w:hAnsi="Calibri"/>
                <w:b/>
                <w:color w:val="FFFFFF"/>
                <w:sz w:val="28"/>
              </w:rPr>
              <w:t>14</w:t>
            </w:r>
          </w:p>
        </w:tc>
        <w:tc>
          <w:tcPr>
            <w:tcW w:type="dxa" w:w="2304"/>
            <w:shd w:val="clear" w:color="auto" w:fill="0070C0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Horas Marzo</w:t>
              <w:br/>
            </w:r>
            <w:r>
              <w:rPr>
                <w:rFonts w:ascii="Calibri" w:hAnsi="Calibri"/>
                <w:b/>
                <w:color w:val="FFFFFF"/>
                <w:sz w:val="28"/>
              </w:rPr>
              <w:t>194h</w:t>
            </w:r>
          </w:p>
        </w:tc>
        <w:tc>
          <w:tcPr>
            <w:tcW w:type="dxa" w:w="2304"/>
            <w:shd w:val="clear" w:color="auto" w:fill="00305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% Capacidad Marzo</w:t>
              <w:br/>
            </w:r>
            <w:r>
              <w:rPr>
                <w:rFonts w:ascii="Calibri" w:hAnsi="Calibri"/>
                <w:b/>
                <w:color w:val="FFFFFF"/>
                <w:sz w:val="28"/>
              </w:rPr>
              <w:t>100.5%</w:t>
            </w:r>
          </w:p>
        </w:tc>
        <w:tc>
          <w:tcPr>
            <w:tcW w:type="dxa" w:w="2304"/>
            <w:shd w:val="clear" w:color="auto" w:fill="0070C0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Horas Abril</w:t>
              <w:br/>
            </w:r>
            <w:r>
              <w:rPr>
                <w:rFonts w:ascii="Calibri" w:hAnsi="Calibri"/>
                <w:b/>
                <w:color w:val="FFFFFF"/>
                <w:sz w:val="28"/>
              </w:rPr>
              <w:t>115h</w:t>
            </w:r>
          </w:p>
        </w:tc>
      </w:tr>
    </w:tbl>
    <w:p/>
    <w:p>
      <w:pPr>
        <w:spacing w:before="0" w:after="120"/>
        <w:jc w:val="left"/>
      </w:pPr>
      <w:r>
        <w:rPr>
          <w:rFonts w:ascii="Calibri" w:hAnsi="Calibri"/>
          <w:b w:val="0"/>
          <w:i w:val="0"/>
          <w:sz w:val="22"/>
        </w:rPr>
        <w:t>Daniel gestiona proyectos de IA y modernización. En marzo sus horas se distribuyeron entre el proyecto FOA Mojana (21.8%), Universidad de La Sabana (16.2%), IAPOL-G de Ponalsar (18%) y Supersociedades (16.4%).</w:t>
      </w:r>
    </w:p>
    <w:p>
      <w:pPr>
        <w:spacing w:after="120"/>
        <w:ind w:left="283"/>
      </w:pPr>
      <w:r>
        <w:rPr>
          <w:rFonts w:ascii="Calibri" w:hAnsi="Calibri"/>
          <w:b/>
          <w:color w:val="FF6B00"/>
          <w:sz w:val="22"/>
        </w:rPr>
        <w:t xml:space="preserve">⚑ Alerta: </w:t>
      </w:r>
      <w:r>
        <w:rPr>
          <w:rFonts w:ascii="Calibri" w:hAnsi="Calibri"/>
          <w:color w:val="404040"/>
          <w:sz w:val="22"/>
        </w:rPr>
        <w:t>Proyectos inactivos aún recibiendo horas (INACTIVO SOC). Revisar el estado real de estos proyectos en OpenAir.</w:t>
      </w:r>
    </w:p>
    <w:p>
      <w:pPr>
        <w:pStyle w:val="Ttulo2"/>
      </w:pPr>
      <w:r>
        <w:rPr>
          <w:rFonts w:ascii="Calibri" w:hAnsi="Calibri"/>
          <w:b/>
          <w:color w:val="003059"/>
          <w:sz w:val="22"/>
        </w:rPr>
        <w:t>Principales proyectos – Marzo 2026</w:t>
      </w:r>
    </w:p>
    <w:tbl>
      <w:tblPr>
        <w:tblStyle w:val="Tablaconcuadrcula"/>
        <w:tblW w:type="auto" w:w="0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shd w:val="clear" w:color="auto" w:fill="0070C0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Proyecto</w:t>
            </w:r>
          </w:p>
        </w:tc>
        <w:tc>
          <w:tcPr>
            <w:tcW w:type="dxa" w:w="2256"/>
            <w:shd w:val="clear" w:color="auto" w:fill="0070C0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Categoría</w:t>
            </w:r>
          </w:p>
        </w:tc>
        <w:tc>
          <w:tcPr>
            <w:tcW w:type="dxa" w:w="2256"/>
            <w:shd w:val="clear" w:color="auto" w:fill="0070C0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Horas Marzo</w:t>
            </w:r>
          </w:p>
        </w:tc>
        <w:tc>
          <w:tcPr>
            <w:tcW w:type="dxa" w:w="2256"/>
            <w:shd w:val="clear" w:color="auto" w:fill="0070C0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% del Total</w:t>
            </w:r>
          </w:p>
        </w:tc>
      </w:tr>
      <w:tr>
        <w:tc>
          <w:tcPr>
            <w:tcW w:type="dxa" w:w="2256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FOA - Evolucion Intergral Mojana - Ret</w:t>
            </w:r>
          </w:p>
        </w:tc>
        <w:tc>
          <w:tcPr>
            <w:tcW w:type="dxa" w:w="2256"/>
            <w:shd w:val="clear" w:color="auto" w:fill="70AD47"/>
          </w:tcPr>
          <w:p>
            <w:pPr>
              <w:jc w:val="center"/>
            </w:pPr>
            <w:r>
              <w:rPr>
                <w:rFonts w:ascii="Calibri" w:hAnsi="Calibri"/>
                <w:color w:val="FFFFFF"/>
                <w:sz w:val="18"/>
              </w:rPr>
              <w:t>Facturable</w:t>
            </w:r>
          </w:p>
        </w:tc>
        <w:tc>
          <w:tcPr>
            <w:tcW w:type="dxa" w:w="2256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42</w:t>
            </w:r>
          </w:p>
        </w:tc>
        <w:tc>
          <w:tcPr>
            <w:tcW w:type="dxa" w:w="2256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21.9%</w:t>
            </w:r>
          </w:p>
        </w:tc>
      </w:tr>
      <w:tr>
        <w:tc>
          <w:tcPr>
            <w:tcW w:type="dxa" w:w="2256"/>
            <w:shd w:val="clear" w:color="auto" w:fill="F2F2F2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PON - IAPOL-G - IA Generative - Fixed</w:t>
            </w:r>
          </w:p>
        </w:tc>
        <w:tc>
          <w:tcPr>
            <w:tcW w:type="dxa" w:w="2256"/>
            <w:shd w:val="clear" w:color="auto" w:fill="F2F2F2"/>
            <w:shd w:val="clear" w:color="auto" w:fill="70AD47"/>
          </w:tcPr>
          <w:p>
            <w:pPr>
              <w:jc w:val="center"/>
            </w:pPr>
            <w:r>
              <w:rPr>
                <w:rFonts w:ascii="Calibri" w:hAnsi="Calibri"/>
                <w:color w:val="FFFFFF"/>
                <w:sz w:val="18"/>
              </w:rPr>
              <w:t>Facturable</w:t>
            </w:r>
          </w:p>
        </w:tc>
        <w:tc>
          <w:tcPr>
            <w:tcW w:type="dxa" w:w="2256"/>
            <w:shd w:val="clear" w:color="auto" w:fill="F2F2F2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35</w:t>
            </w:r>
          </w:p>
        </w:tc>
        <w:tc>
          <w:tcPr>
            <w:tcW w:type="dxa" w:w="2256"/>
            <w:shd w:val="clear" w:color="auto" w:fill="F2F2F2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18.0%</w:t>
            </w:r>
          </w:p>
        </w:tc>
      </w:tr>
      <w:tr>
        <w:tc>
          <w:tcPr>
            <w:tcW w:type="dxa" w:w="2256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CO - Universidad Sabana - Servicios Profesionales</w:t>
            </w:r>
          </w:p>
        </w:tc>
        <w:tc>
          <w:tcPr>
            <w:tcW w:type="dxa" w:w="2256"/>
            <w:shd w:val="clear" w:color="auto" w:fill="70AD47"/>
          </w:tcPr>
          <w:p>
            <w:pPr>
              <w:jc w:val="center"/>
            </w:pPr>
            <w:r>
              <w:rPr>
                <w:rFonts w:ascii="Calibri" w:hAnsi="Calibri"/>
                <w:color w:val="FFFFFF"/>
                <w:sz w:val="18"/>
              </w:rPr>
              <w:t>Facturable</w:t>
            </w:r>
          </w:p>
        </w:tc>
        <w:tc>
          <w:tcPr>
            <w:tcW w:type="dxa" w:w="2256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32</w:t>
            </w:r>
          </w:p>
        </w:tc>
        <w:tc>
          <w:tcPr>
            <w:tcW w:type="dxa" w:w="2256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16.2%</w:t>
            </w:r>
          </w:p>
        </w:tc>
      </w:tr>
      <w:tr>
        <w:tc>
          <w:tcPr>
            <w:tcW w:type="dxa" w:w="2256"/>
            <w:shd w:val="clear" w:color="auto" w:fill="F2F2F2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Meetings &amp; Training</w:t>
            </w:r>
          </w:p>
        </w:tc>
        <w:tc>
          <w:tcPr>
            <w:tcW w:type="dxa" w:w="2256"/>
            <w:shd w:val="clear" w:color="auto" w:fill="F2F2F2"/>
            <w:shd w:val="clear" w:color="auto" w:fill="BDD7EE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Interno/Administrativo</w:t>
            </w:r>
          </w:p>
        </w:tc>
        <w:tc>
          <w:tcPr>
            <w:tcW w:type="dxa" w:w="2256"/>
            <w:shd w:val="clear" w:color="auto" w:fill="F2F2F2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28</w:t>
            </w:r>
          </w:p>
        </w:tc>
        <w:tc>
          <w:tcPr>
            <w:tcW w:type="dxa" w:w="2256"/>
            <w:shd w:val="clear" w:color="auto" w:fill="F2F2F2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14.7%</w:t>
            </w:r>
          </w:p>
        </w:tc>
      </w:tr>
      <w:tr>
        <w:tc>
          <w:tcPr>
            <w:tcW w:type="dxa" w:w="2256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CO - Supersociedades - Renewal - Ret</w:t>
            </w:r>
          </w:p>
        </w:tc>
        <w:tc>
          <w:tcPr>
            <w:tcW w:type="dxa" w:w="2256"/>
            <w:shd w:val="clear" w:color="auto" w:fill="70AD47"/>
          </w:tcPr>
          <w:p>
            <w:pPr>
              <w:jc w:val="center"/>
            </w:pPr>
            <w:r>
              <w:rPr>
                <w:rFonts w:ascii="Calibri" w:hAnsi="Calibri"/>
                <w:color w:val="FFFFFF"/>
                <w:sz w:val="18"/>
              </w:rPr>
              <w:t>Facturable</w:t>
            </w:r>
          </w:p>
        </w:tc>
        <w:tc>
          <w:tcPr>
            <w:tcW w:type="dxa" w:w="2256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16</w:t>
            </w:r>
          </w:p>
        </w:tc>
        <w:tc>
          <w:tcPr>
            <w:tcW w:type="dxa" w:w="2256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8.5%</w:t>
            </w:r>
          </w:p>
        </w:tc>
      </w:tr>
      <w:tr>
        <w:tc>
          <w:tcPr>
            <w:tcW w:type="dxa" w:w="2256"/>
            <w:shd w:val="clear" w:color="auto" w:fill="F2F2F2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CO - Supersociedades - Renewal - Fixed</w:t>
            </w:r>
          </w:p>
        </w:tc>
        <w:tc>
          <w:tcPr>
            <w:tcW w:type="dxa" w:w="2256"/>
            <w:shd w:val="clear" w:color="auto" w:fill="F2F2F2"/>
            <w:shd w:val="clear" w:color="auto" w:fill="70AD47"/>
          </w:tcPr>
          <w:p>
            <w:pPr>
              <w:jc w:val="center"/>
            </w:pPr>
            <w:r>
              <w:rPr>
                <w:rFonts w:ascii="Calibri" w:hAnsi="Calibri"/>
                <w:color w:val="FFFFFF"/>
                <w:sz w:val="18"/>
              </w:rPr>
              <w:t>Facturable</w:t>
            </w:r>
          </w:p>
        </w:tc>
        <w:tc>
          <w:tcPr>
            <w:tcW w:type="dxa" w:w="2256"/>
            <w:shd w:val="clear" w:color="auto" w:fill="F2F2F2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16</w:t>
            </w:r>
          </w:p>
        </w:tc>
        <w:tc>
          <w:tcPr>
            <w:tcW w:type="dxa" w:w="2256"/>
            <w:shd w:val="clear" w:color="auto" w:fill="F2F2F2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8.0%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47546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pm_Daniel_Sebastian_Vargas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4754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/>
        <w:jc w:val="center"/>
      </w:pPr>
      <w:r>
        <w:rPr>
          <w:rFonts w:ascii="Calibri" w:hAnsi="Calibri"/>
          <w:b w:val="0"/>
          <w:i/>
          <w:color w:val="595959"/>
          <w:sz w:val="18"/>
        </w:rPr>
        <w:t>Figura. Distribución de horas por proyecto – Daniel Sebastian Vargas – Marzo 2026</w:t>
      </w:r>
    </w:p>
    <w:p>
      <w:pPr>
        <w:pBdr>
          <w:bottom w:val="single" w:sz="6" w:space="1" w:color="BDD7EE"/>
        </w:pBdr>
        <w:spacing w:after="120"/>
      </w:pPr>
    </w:p>
    <w:p>
      <w:pPr>
        <w:pStyle w:val="Ttulo2"/>
      </w:pPr>
      <w:r>
        <w:rPr>
          <w:rFonts w:ascii="Calibri" w:hAnsi="Calibri"/>
          <w:b/>
          <w:color w:val="0070C0"/>
          <w:sz w:val="26"/>
        </w:rPr>
        <w:t>3.2. David Cortes</w:t>
      </w:r>
    </w:p>
    <w:tbl>
      <w:tblPr>
        <w:tblStyle w:val="Tablaconcuadrcula"/>
        <w:tblW w:type="auto" w:w="0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c>
          <w:tcPr>
            <w:tcW w:type="dxa" w:w="2304"/>
            <w:shd w:val="clear" w:color="auto" w:fill="00305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Proyectos Activos</w:t>
              <w:br/>
            </w:r>
            <w:r>
              <w:rPr>
                <w:rFonts w:ascii="Calibri" w:hAnsi="Calibri"/>
                <w:b/>
                <w:color w:val="FFFFFF"/>
                <w:sz w:val="28"/>
              </w:rPr>
              <w:t>17</w:t>
            </w:r>
          </w:p>
        </w:tc>
        <w:tc>
          <w:tcPr>
            <w:tcW w:type="dxa" w:w="2304"/>
            <w:shd w:val="clear" w:color="auto" w:fill="0070C0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Horas Marzo</w:t>
              <w:br/>
            </w:r>
            <w:r>
              <w:rPr>
                <w:rFonts w:ascii="Calibri" w:hAnsi="Calibri"/>
                <w:b/>
                <w:color w:val="FFFFFF"/>
                <w:sz w:val="28"/>
              </w:rPr>
              <w:t>198h</w:t>
            </w:r>
          </w:p>
        </w:tc>
        <w:tc>
          <w:tcPr>
            <w:tcW w:type="dxa" w:w="2304"/>
            <w:shd w:val="clear" w:color="auto" w:fill="00305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% Capacidad Marzo</w:t>
              <w:br/>
            </w:r>
            <w:r>
              <w:rPr>
                <w:rFonts w:ascii="Calibri" w:hAnsi="Calibri"/>
                <w:b/>
                <w:color w:val="FFFFFF"/>
                <w:sz w:val="28"/>
              </w:rPr>
              <w:t>102.3%</w:t>
            </w:r>
          </w:p>
        </w:tc>
        <w:tc>
          <w:tcPr>
            <w:tcW w:type="dxa" w:w="2304"/>
            <w:shd w:val="clear" w:color="auto" w:fill="0070C0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Horas Abril</w:t>
              <w:br/>
            </w:r>
            <w:r>
              <w:rPr>
                <w:rFonts w:ascii="Calibri" w:hAnsi="Calibri"/>
                <w:b/>
                <w:color w:val="FFFFFF"/>
                <w:sz w:val="28"/>
              </w:rPr>
              <w:t>71h</w:t>
            </w:r>
          </w:p>
        </w:tc>
      </w:tr>
    </w:tbl>
    <w:p/>
    <w:p>
      <w:pPr>
        <w:spacing w:before="0" w:after="120"/>
        <w:jc w:val="left"/>
      </w:pPr>
      <w:r>
        <w:rPr>
          <w:rFonts w:ascii="Calibri" w:hAnsi="Calibri"/>
          <w:b w:val="0"/>
          <w:i w:val="0"/>
          <w:sz w:val="22"/>
        </w:rPr>
        <w:t>David registró 198 horas en marzo, superando ligeramente la capacidad estándar (102.3%). Su tiempo estuvo concentrado en tres proyectos de alto volumen: Metro Medellín (50% de sus horas), CSJ y Ecuador IGM.</w:t>
      </w:r>
    </w:p>
    <w:p>
      <w:pPr>
        <w:spacing w:after="120"/>
        <w:ind w:left="283"/>
      </w:pPr>
      <w:r>
        <w:rPr>
          <w:rFonts w:ascii="Calibri" w:hAnsi="Calibri"/>
          <w:b/>
          <w:color w:val="FF6B00"/>
          <w:sz w:val="22"/>
        </w:rPr>
        <w:t xml:space="preserve">⚑ Alerta: </w:t>
      </w:r>
      <w:r>
        <w:rPr>
          <w:rFonts w:ascii="Calibri" w:hAnsi="Calibri"/>
          <w:color w:val="404040"/>
          <w:sz w:val="22"/>
        </w:rPr>
        <w:t>Sobrecarga identificada. Concentración del 50% de horas en un solo proyecto (Metro Medellín). Se recomienda evaluar delegación o soporte adicional.</w:t>
      </w:r>
    </w:p>
    <w:p>
      <w:pPr>
        <w:pStyle w:val="Ttulo2"/>
      </w:pPr>
      <w:r>
        <w:rPr>
          <w:rFonts w:ascii="Calibri" w:hAnsi="Calibri"/>
          <w:b/>
          <w:color w:val="003059"/>
          <w:sz w:val="22"/>
        </w:rPr>
        <w:t>Principales proyectos – Marzo 2026</w:t>
      </w:r>
    </w:p>
    <w:tbl>
      <w:tblPr>
        <w:tblStyle w:val="Tablaconcuadrcula"/>
        <w:tblW w:type="auto" w:w="0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shd w:val="clear" w:color="auto" w:fill="0070C0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Proyecto</w:t>
            </w:r>
          </w:p>
        </w:tc>
        <w:tc>
          <w:tcPr>
            <w:tcW w:type="dxa" w:w="2256"/>
            <w:shd w:val="clear" w:color="auto" w:fill="0070C0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Categoría</w:t>
            </w:r>
          </w:p>
        </w:tc>
        <w:tc>
          <w:tcPr>
            <w:tcW w:type="dxa" w:w="2256"/>
            <w:shd w:val="clear" w:color="auto" w:fill="0070C0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Horas Marzo</w:t>
            </w:r>
          </w:p>
        </w:tc>
        <w:tc>
          <w:tcPr>
            <w:tcW w:type="dxa" w:w="2256"/>
            <w:shd w:val="clear" w:color="auto" w:fill="0070C0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% del Total</w:t>
            </w:r>
          </w:p>
        </w:tc>
      </w:tr>
      <w:tr>
        <w:tc>
          <w:tcPr>
            <w:tcW w:type="dxa" w:w="2256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CO - Metro Medellín - Inteligencia de Negocios y Analít</w:t>
            </w:r>
          </w:p>
        </w:tc>
        <w:tc>
          <w:tcPr>
            <w:tcW w:type="dxa" w:w="2256"/>
            <w:shd w:val="clear" w:color="auto" w:fill="70AD47"/>
          </w:tcPr>
          <w:p>
            <w:pPr>
              <w:jc w:val="center"/>
            </w:pPr>
            <w:r>
              <w:rPr>
                <w:rFonts w:ascii="Calibri" w:hAnsi="Calibri"/>
                <w:color w:val="FFFFFF"/>
                <w:sz w:val="18"/>
              </w:rPr>
              <w:t>Facturable</w:t>
            </w:r>
          </w:p>
        </w:tc>
        <w:tc>
          <w:tcPr>
            <w:tcW w:type="dxa" w:w="2256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99</w:t>
            </w:r>
          </w:p>
        </w:tc>
        <w:tc>
          <w:tcPr>
            <w:tcW w:type="dxa" w:w="2256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50.0%</w:t>
            </w:r>
          </w:p>
        </w:tc>
      </w:tr>
      <w:tr>
        <w:tc>
          <w:tcPr>
            <w:tcW w:type="dxa" w:w="2256"/>
            <w:shd w:val="clear" w:color="auto" w:fill="F2F2F2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EC - IGM - Migration Assessment - Ret</w:t>
            </w:r>
          </w:p>
        </w:tc>
        <w:tc>
          <w:tcPr>
            <w:tcW w:type="dxa" w:w="2256"/>
            <w:shd w:val="clear" w:color="auto" w:fill="F2F2F2"/>
            <w:shd w:val="clear" w:color="auto" w:fill="70AD47"/>
          </w:tcPr>
          <w:p>
            <w:pPr>
              <w:jc w:val="center"/>
            </w:pPr>
            <w:r>
              <w:rPr>
                <w:rFonts w:ascii="Calibri" w:hAnsi="Calibri"/>
                <w:color w:val="FFFFFF"/>
                <w:sz w:val="18"/>
              </w:rPr>
              <w:t>Facturable</w:t>
            </w:r>
          </w:p>
        </w:tc>
        <w:tc>
          <w:tcPr>
            <w:tcW w:type="dxa" w:w="2256"/>
            <w:shd w:val="clear" w:color="auto" w:fill="F2F2F2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59</w:t>
            </w:r>
          </w:p>
        </w:tc>
        <w:tc>
          <w:tcPr>
            <w:tcW w:type="dxa" w:w="2256"/>
            <w:shd w:val="clear" w:color="auto" w:fill="F2F2F2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29.8%</w:t>
            </w:r>
          </w:p>
        </w:tc>
      </w:tr>
      <w:tr>
        <w:tc>
          <w:tcPr>
            <w:tcW w:type="dxa" w:w="2256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CSJ - Continuidad Operacion AWS - Ret</w:t>
            </w:r>
          </w:p>
        </w:tc>
        <w:tc>
          <w:tcPr>
            <w:tcW w:type="dxa" w:w="2256"/>
            <w:shd w:val="clear" w:color="auto" w:fill="70AD47"/>
          </w:tcPr>
          <w:p>
            <w:pPr>
              <w:jc w:val="center"/>
            </w:pPr>
            <w:r>
              <w:rPr>
                <w:rFonts w:ascii="Calibri" w:hAnsi="Calibri"/>
                <w:color w:val="FFFFFF"/>
                <w:sz w:val="18"/>
              </w:rPr>
              <w:t>Facturable</w:t>
            </w:r>
          </w:p>
        </w:tc>
        <w:tc>
          <w:tcPr>
            <w:tcW w:type="dxa" w:w="2256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29</w:t>
            </w:r>
          </w:p>
        </w:tc>
        <w:tc>
          <w:tcPr>
            <w:tcW w:type="dxa" w:w="2256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14.6%</w:t>
            </w:r>
          </w:p>
        </w:tc>
      </w:tr>
      <w:tr>
        <w:tc>
          <w:tcPr>
            <w:tcW w:type="dxa" w:w="2256"/>
            <w:shd w:val="clear" w:color="auto" w:fill="F2F2F2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Time Off &amp; Holiday</w:t>
            </w:r>
          </w:p>
        </w:tc>
        <w:tc>
          <w:tcPr>
            <w:tcW w:type="dxa" w:w="2256"/>
            <w:shd w:val="clear" w:color="auto" w:fill="F2F2F2"/>
            <w:shd w:val="clear" w:color="auto" w:fill="FFD966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Vacaciones/Ausencia</w:t>
            </w:r>
          </w:p>
        </w:tc>
        <w:tc>
          <w:tcPr>
            <w:tcW w:type="dxa" w:w="2256"/>
            <w:shd w:val="clear" w:color="auto" w:fill="F2F2F2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9</w:t>
            </w:r>
          </w:p>
        </w:tc>
        <w:tc>
          <w:tcPr>
            <w:tcW w:type="dxa" w:w="2256"/>
            <w:shd w:val="clear" w:color="auto" w:fill="F2F2F2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4.5%</w:t>
            </w:r>
          </w:p>
        </w:tc>
      </w:tr>
      <w:tr>
        <w:tc>
          <w:tcPr>
            <w:tcW w:type="dxa" w:w="2256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UBO - Operacion Cloud - CLOUD</w:t>
            </w:r>
          </w:p>
        </w:tc>
        <w:tc>
          <w:tcPr>
            <w:tcW w:type="dxa" w:w="2256"/>
            <w:shd w:val="clear" w:color="auto" w:fill="70AD47"/>
          </w:tcPr>
          <w:p>
            <w:pPr>
              <w:jc w:val="center"/>
            </w:pPr>
            <w:r>
              <w:rPr>
                <w:rFonts w:ascii="Calibri" w:hAnsi="Calibri"/>
                <w:color w:val="FFFFFF"/>
                <w:sz w:val="18"/>
              </w:rPr>
              <w:t>Facturable</w:t>
            </w:r>
          </w:p>
        </w:tc>
        <w:tc>
          <w:tcPr>
            <w:tcW w:type="dxa" w:w="2256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2</w:t>
            </w:r>
          </w:p>
        </w:tc>
        <w:tc>
          <w:tcPr>
            <w:tcW w:type="dxa" w:w="2256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1.0%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47297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pm_David_Cortes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4729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/>
        <w:jc w:val="center"/>
      </w:pPr>
      <w:r>
        <w:rPr>
          <w:rFonts w:ascii="Calibri" w:hAnsi="Calibri"/>
          <w:b w:val="0"/>
          <w:i/>
          <w:color w:val="595959"/>
          <w:sz w:val="18"/>
        </w:rPr>
        <w:t>Figura. Distribución de horas por proyecto – David Cortes – Marzo 2026</w:t>
      </w:r>
    </w:p>
    <w:p>
      <w:pPr>
        <w:pBdr>
          <w:bottom w:val="single" w:sz="6" w:space="1" w:color="BDD7EE"/>
        </w:pBdr>
        <w:spacing w:after="120"/>
      </w:pPr>
    </w:p>
    <w:p>
      <w:pPr>
        <w:pStyle w:val="Ttulo2"/>
      </w:pPr>
      <w:r>
        <w:rPr>
          <w:rFonts w:ascii="Calibri" w:hAnsi="Calibri"/>
          <w:b/>
          <w:color w:val="0070C0"/>
          <w:sz w:val="26"/>
        </w:rPr>
        <w:t>3.3. Diana Castro</w:t>
      </w:r>
    </w:p>
    <w:tbl>
      <w:tblPr>
        <w:tblStyle w:val="Tablaconcuadrcula"/>
        <w:tblW w:type="auto" w:w="0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c>
          <w:tcPr>
            <w:tcW w:type="dxa" w:w="2304"/>
            <w:shd w:val="clear" w:color="auto" w:fill="00305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Proyectos Activos</w:t>
              <w:br/>
            </w:r>
            <w:r>
              <w:rPr>
                <w:rFonts w:ascii="Calibri" w:hAnsi="Calibri"/>
                <w:b/>
                <w:color w:val="FFFFFF"/>
                <w:sz w:val="28"/>
              </w:rPr>
              <w:t>11</w:t>
            </w:r>
          </w:p>
        </w:tc>
        <w:tc>
          <w:tcPr>
            <w:tcW w:type="dxa" w:w="2304"/>
            <w:shd w:val="clear" w:color="auto" w:fill="0070C0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Horas Marzo</w:t>
              <w:br/>
            </w:r>
            <w:r>
              <w:rPr>
                <w:rFonts w:ascii="Calibri" w:hAnsi="Calibri"/>
                <w:b/>
                <w:color w:val="FFFFFF"/>
                <w:sz w:val="28"/>
              </w:rPr>
              <w:t>194h</w:t>
            </w:r>
          </w:p>
        </w:tc>
        <w:tc>
          <w:tcPr>
            <w:tcW w:type="dxa" w:w="2304"/>
            <w:shd w:val="clear" w:color="auto" w:fill="00305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% Capacidad Marzo</w:t>
              <w:br/>
            </w:r>
            <w:r>
              <w:rPr>
                <w:rFonts w:ascii="Calibri" w:hAnsi="Calibri"/>
                <w:b/>
                <w:color w:val="FFFFFF"/>
                <w:sz w:val="28"/>
              </w:rPr>
              <w:t>100.2%</w:t>
            </w:r>
          </w:p>
        </w:tc>
        <w:tc>
          <w:tcPr>
            <w:tcW w:type="dxa" w:w="2304"/>
            <w:shd w:val="clear" w:color="auto" w:fill="0070C0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Horas Abril</w:t>
              <w:br/>
            </w:r>
            <w:r>
              <w:rPr>
                <w:rFonts w:ascii="Calibri" w:hAnsi="Calibri"/>
                <w:b/>
                <w:color w:val="FFFFFF"/>
                <w:sz w:val="28"/>
              </w:rPr>
              <w:t>114h</w:t>
            </w:r>
          </w:p>
        </w:tc>
      </w:tr>
    </w:tbl>
    <w:p/>
    <w:p>
      <w:pPr>
        <w:spacing w:before="0" w:after="120"/>
        <w:jc w:val="left"/>
      </w:pPr>
      <w:r>
        <w:rPr>
          <w:rFonts w:ascii="Calibri" w:hAnsi="Calibri"/>
          <w:b w:val="0"/>
          <w:i w:val="0"/>
          <w:sz w:val="22"/>
        </w:rPr>
        <w:t>Diana registra 145 horas en Meetings &amp; Training en marzo, representando el 74.7% de su tiempo. Los proyectos facturables activos (Ingenium API y Secretaría de Planeación) reciben solo el 24.7% de su tiempo.</w:t>
      </w:r>
    </w:p>
    <w:p>
      <w:pPr>
        <w:spacing w:after="120"/>
        <w:ind w:left="283"/>
      </w:pPr>
      <w:r>
        <w:rPr>
          <w:rFonts w:ascii="Calibri" w:hAnsi="Calibri"/>
          <w:b/>
          <w:color w:val="FF6B00"/>
          <w:sz w:val="22"/>
        </w:rPr>
        <w:t xml:space="preserve">⚑ Alerta: </w:t>
      </w:r>
      <w:r>
        <w:rPr>
          <w:rFonts w:ascii="Calibri" w:hAnsi="Calibri"/>
          <w:color w:val="404040"/>
          <w:sz w:val="22"/>
        </w:rPr>
        <w:t>Alta concentración de tiempo en actividades no facturables (74.7%). Esto requiere análisis: puede indicar que Diana cumple un rol de apoyo interno o que hay proyectos no facturables de alto valor. Requiere revisión urgente.</w:t>
      </w:r>
    </w:p>
    <w:p>
      <w:pPr>
        <w:pStyle w:val="Ttulo2"/>
      </w:pPr>
      <w:r>
        <w:rPr>
          <w:rFonts w:ascii="Calibri" w:hAnsi="Calibri"/>
          <w:b/>
          <w:color w:val="003059"/>
          <w:sz w:val="22"/>
        </w:rPr>
        <w:t>Principales proyectos – Marzo 2026</w:t>
      </w:r>
    </w:p>
    <w:tbl>
      <w:tblPr>
        <w:tblStyle w:val="Tablaconcuadrcula"/>
        <w:tblW w:type="auto" w:w="0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shd w:val="clear" w:color="auto" w:fill="0070C0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Proyecto</w:t>
            </w:r>
          </w:p>
        </w:tc>
        <w:tc>
          <w:tcPr>
            <w:tcW w:type="dxa" w:w="2256"/>
            <w:shd w:val="clear" w:color="auto" w:fill="0070C0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Categoría</w:t>
            </w:r>
          </w:p>
        </w:tc>
        <w:tc>
          <w:tcPr>
            <w:tcW w:type="dxa" w:w="2256"/>
            <w:shd w:val="clear" w:color="auto" w:fill="0070C0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Horas Marzo</w:t>
            </w:r>
          </w:p>
        </w:tc>
        <w:tc>
          <w:tcPr>
            <w:tcW w:type="dxa" w:w="2256"/>
            <w:shd w:val="clear" w:color="auto" w:fill="0070C0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% del Total</w:t>
            </w:r>
          </w:p>
        </w:tc>
      </w:tr>
      <w:tr>
        <w:tc>
          <w:tcPr>
            <w:tcW w:type="dxa" w:w="2256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Meetings &amp; Training</w:t>
            </w:r>
          </w:p>
        </w:tc>
        <w:tc>
          <w:tcPr>
            <w:tcW w:type="dxa" w:w="2256"/>
            <w:shd w:val="clear" w:color="auto" w:fill="BDD7EE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Interno/Administrativo</w:t>
            </w:r>
          </w:p>
        </w:tc>
        <w:tc>
          <w:tcPr>
            <w:tcW w:type="dxa" w:w="2256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145</w:t>
            </w:r>
          </w:p>
        </w:tc>
        <w:tc>
          <w:tcPr>
            <w:tcW w:type="dxa" w:w="2256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74.7%</w:t>
            </w:r>
          </w:p>
        </w:tc>
      </w:tr>
      <w:tr>
        <w:tc>
          <w:tcPr>
            <w:tcW w:type="dxa" w:w="2256"/>
            <w:shd w:val="clear" w:color="auto" w:fill="F2F2F2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CO - Ingenium - API Manager - Fixed</w:t>
            </w:r>
          </w:p>
        </w:tc>
        <w:tc>
          <w:tcPr>
            <w:tcW w:type="dxa" w:w="2256"/>
            <w:shd w:val="clear" w:color="auto" w:fill="F2F2F2"/>
            <w:shd w:val="clear" w:color="auto" w:fill="70AD47"/>
          </w:tcPr>
          <w:p>
            <w:pPr>
              <w:jc w:val="center"/>
            </w:pPr>
            <w:r>
              <w:rPr>
                <w:rFonts w:ascii="Calibri" w:hAnsi="Calibri"/>
                <w:color w:val="FFFFFF"/>
                <w:sz w:val="18"/>
              </w:rPr>
              <w:t>Facturable</w:t>
            </w:r>
          </w:p>
        </w:tc>
        <w:tc>
          <w:tcPr>
            <w:tcW w:type="dxa" w:w="2256"/>
            <w:shd w:val="clear" w:color="auto" w:fill="F2F2F2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33</w:t>
            </w:r>
          </w:p>
        </w:tc>
        <w:tc>
          <w:tcPr>
            <w:tcW w:type="dxa" w:w="2256"/>
            <w:shd w:val="clear" w:color="auto" w:fill="F2F2F2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17.1%</w:t>
            </w:r>
          </w:p>
        </w:tc>
      </w:tr>
      <w:tr>
        <w:tc>
          <w:tcPr>
            <w:tcW w:type="dxa" w:w="2256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CO - Secretaría de planeación - Renewal - Fixed</w:t>
            </w:r>
          </w:p>
        </w:tc>
        <w:tc>
          <w:tcPr>
            <w:tcW w:type="dxa" w:w="2256"/>
            <w:shd w:val="clear" w:color="auto" w:fill="70AD47"/>
          </w:tcPr>
          <w:p>
            <w:pPr>
              <w:jc w:val="center"/>
            </w:pPr>
            <w:r>
              <w:rPr>
                <w:rFonts w:ascii="Calibri" w:hAnsi="Calibri"/>
                <w:color w:val="FFFFFF"/>
                <w:sz w:val="18"/>
              </w:rPr>
              <w:t>Facturable</w:t>
            </w:r>
          </w:p>
        </w:tc>
        <w:tc>
          <w:tcPr>
            <w:tcW w:type="dxa" w:w="2256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15</w:t>
            </w:r>
          </w:p>
        </w:tc>
        <w:tc>
          <w:tcPr>
            <w:tcW w:type="dxa" w:w="2256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7.6%</w:t>
            </w:r>
          </w:p>
        </w:tc>
      </w:tr>
      <w:tr>
        <w:tc>
          <w:tcPr>
            <w:tcW w:type="dxa" w:w="2256"/>
            <w:shd w:val="clear" w:color="auto" w:fill="F2F2F2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Business Development – Project Management</w:t>
            </w:r>
          </w:p>
        </w:tc>
        <w:tc>
          <w:tcPr>
            <w:tcW w:type="dxa" w:w="2256"/>
            <w:shd w:val="clear" w:color="auto" w:fill="F2F2F2"/>
            <w:shd w:val="clear" w:color="auto" w:fill="BDD7EE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Interno/Administrativo</w:t>
            </w:r>
          </w:p>
        </w:tc>
        <w:tc>
          <w:tcPr>
            <w:tcW w:type="dxa" w:w="2256"/>
            <w:shd w:val="clear" w:color="auto" w:fill="F2F2F2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1</w:t>
            </w:r>
          </w:p>
        </w:tc>
        <w:tc>
          <w:tcPr>
            <w:tcW w:type="dxa" w:w="2256"/>
            <w:shd w:val="clear" w:color="auto" w:fill="F2F2F2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0.5%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46338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pm_Diana_Castro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4633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/>
        <w:jc w:val="center"/>
      </w:pPr>
      <w:r>
        <w:rPr>
          <w:rFonts w:ascii="Calibri" w:hAnsi="Calibri"/>
          <w:b w:val="0"/>
          <w:i/>
          <w:color w:val="595959"/>
          <w:sz w:val="18"/>
        </w:rPr>
        <w:t>Figura. Distribución de horas por proyecto – Diana Castro – Marzo 2026</w:t>
      </w:r>
    </w:p>
    <w:p>
      <w:pPr>
        <w:pBdr>
          <w:bottom w:val="single" w:sz="6" w:space="1" w:color="BDD7EE"/>
        </w:pBdr>
        <w:spacing w:after="120"/>
      </w:pPr>
    </w:p>
    <w:p>
      <w:pPr>
        <w:pStyle w:val="Ttulo2"/>
      </w:pPr>
      <w:r>
        <w:rPr>
          <w:rFonts w:ascii="Calibri" w:hAnsi="Calibri"/>
          <w:b/>
          <w:color w:val="0070C0"/>
          <w:sz w:val="26"/>
        </w:rPr>
        <w:t>3.4. Diana Rojas</w:t>
      </w:r>
    </w:p>
    <w:tbl>
      <w:tblPr>
        <w:tblStyle w:val="Tablaconcuadrcula"/>
        <w:tblW w:type="auto" w:w="0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c>
          <w:tcPr>
            <w:tcW w:type="dxa" w:w="2304"/>
            <w:shd w:val="clear" w:color="auto" w:fill="00305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Proyectos Activos</w:t>
              <w:br/>
            </w:r>
            <w:r>
              <w:rPr>
                <w:rFonts w:ascii="Calibri" w:hAnsi="Calibri"/>
                <w:b/>
                <w:color w:val="FFFFFF"/>
                <w:sz w:val="28"/>
              </w:rPr>
              <w:t>9</w:t>
            </w:r>
          </w:p>
        </w:tc>
        <w:tc>
          <w:tcPr>
            <w:tcW w:type="dxa" w:w="2304"/>
            <w:shd w:val="clear" w:color="auto" w:fill="0070C0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Horas Marzo</w:t>
              <w:br/>
            </w:r>
            <w:r>
              <w:rPr>
                <w:rFonts w:ascii="Calibri" w:hAnsi="Calibri"/>
                <w:b/>
                <w:color w:val="FFFFFF"/>
                <w:sz w:val="28"/>
              </w:rPr>
              <w:t>194h</w:t>
            </w:r>
          </w:p>
        </w:tc>
        <w:tc>
          <w:tcPr>
            <w:tcW w:type="dxa" w:w="2304"/>
            <w:shd w:val="clear" w:color="auto" w:fill="00305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% Capacidad Marzo</w:t>
              <w:br/>
            </w:r>
            <w:r>
              <w:rPr>
                <w:rFonts w:ascii="Calibri" w:hAnsi="Calibri"/>
                <w:b/>
                <w:color w:val="FFFFFF"/>
                <w:sz w:val="28"/>
              </w:rPr>
              <w:t>100.2%</w:t>
            </w:r>
          </w:p>
        </w:tc>
        <w:tc>
          <w:tcPr>
            <w:tcW w:type="dxa" w:w="2304"/>
            <w:shd w:val="clear" w:color="auto" w:fill="0070C0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Horas Abril</w:t>
              <w:br/>
            </w:r>
            <w:r>
              <w:rPr>
                <w:rFonts w:ascii="Calibri" w:hAnsi="Calibri"/>
                <w:b/>
                <w:color w:val="FFFFFF"/>
                <w:sz w:val="28"/>
              </w:rPr>
              <w:t>114h</w:t>
            </w:r>
          </w:p>
        </w:tc>
      </w:tr>
    </w:tbl>
    <w:p/>
    <w:p>
      <w:pPr>
        <w:spacing w:before="0" w:after="120"/>
        <w:jc w:val="left"/>
      </w:pPr>
      <w:r>
        <w:rPr>
          <w:rFonts w:ascii="Calibri" w:hAnsi="Calibri"/>
          <w:b w:val="0"/>
          <w:i w:val="0"/>
          <w:sz w:val="22"/>
        </w:rPr>
        <w:t>Diana gestiona proyectos de ADRES con alto volumen de horas. El proyecto ADRES Modernization consumió el 31.9% de sus horas en marzo. También gestiona múltiples proyectos de UNA y la operación ADRES.</w:t>
      </w:r>
    </w:p>
    <w:p>
      <w:pPr>
        <w:spacing w:after="120"/>
        <w:ind w:left="283"/>
      </w:pPr>
      <w:r>
        <w:rPr>
          <w:rFonts w:ascii="Calibri" w:hAnsi="Calibri"/>
          <w:b/>
          <w:color w:val="FF6B00"/>
          <w:sz w:val="22"/>
        </w:rPr>
        <w:t xml:space="preserve">⚑ Alerta: </w:t>
      </w:r>
      <w:r>
        <w:rPr>
          <w:rFonts w:ascii="Calibri" w:hAnsi="Calibri"/>
          <w:color w:val="404040"/>
          <w:sz w:val="22"/>
        </w:rPr>
        <w:t>Gestiona 9 proyectos activos con carga distribuida. Vigilar el balance entre proyectos de implementación y operación de ADRES.</w:t>
      </w:r>
    </w:p>
    <w:p>
      <w:pPr>
        <w:pStyle w:val="Ttulo2"/>
      </w:pPr>
      <w:r>
        <w:rPr>
          <w:rFonts w:ascii="Calibri" w:hAnsi="Calibri"/>
          <w:b/>
          <w:color w:val="003059"/>
          <w:sz w:val="22"/>
        </w:rPr>
        <w:t>Principales proyectos – Marzo 2026</w:t>
      </w:r>
    </w:p>
    <w:tbl>
      <w:tblPr>
        <w:tblStyle w:val="Tablaconcuadrcula"/>
        <w:tblW w:type="auto" w:w="0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shd w:val="clear" w:color="auto" w:fill="0070C0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Proyecto</w:t>
            </w:r>
          </w:p>
        </w:tc>
        <w:tc>
          <w:tcPr>
            <w:tcW w:type="dxa" w:w="2256"/>
            <w:shd w:val="clear" w:color="auto" w:fill="0070C0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Categoría</w:t>
            </w:r>
          </w:p>
        </w:tc>
        <w:tc>
          <w:tcPr>
            <w:tcW w:type="dxa" w:w="2256"/>
            <w:shd w:val="clear" w:color="auto" w:fill="0070C0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Horas Marzo</w:t>
            </w:r>
          </w:p>
        </w:tc>
        <w:tc>
          <w:tcPr>
            <w:tcW w:type="dxa" w:w="2256"/>
            <w:shd w:val="clear" w:color="auto" w:fill="0070C0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% del Total</w:t>
            </w:r>
          </w:p>
        </w:tc>
      </w:tr>
      <w:tr>
        <w:tc>
          <w:tcPr>
            <w:tcW w:type="dxa" w:w="2256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CO - ADRES - Modernization - Fixed</w:t>
            </w:r>
          </w:p>
        </w:tc>
        <w:tc>
          <w:tcPr>
            <w:tcW w:type="dxa" w:w="2256"/>
            <w:shd w:val="clear" w:color="auto" w:fill="70AD47"/>
          </w:tcPr>
          <w:p>
            <w:pPr>
              <w:jc w:val="center"/>
            </w:pPr>
            <w:r>
              <w:rPr>
                <w:rFonts w:ascii="Calibri" w:hAnsi="Calibri"/>
                <w:color w:val="FFFFFF"/>
                <w:sz w:val="18"/>
              </w:rPr>
              <w:t>Facturable</w:t>
            </w:r>
          </w:p>
        </w:tc>
        <w:tc>
          <w:tcPr>
            <w:tcW w:type="dxa" w:w="2256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62</w:t>
            </w:r>
          </w:p>
        </w:tc>
        <w:tc>
          <w:tcPr>
            <w:tcW w:type="dxa" w:w="2256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32.0%</w:t>
            </w:r>
          </w:p>
        </w:tc>
      </w:tr>
      <w:tr>
        <w:tc>
          <w:tcPr>
            <w:tcW w:type="dxa" w:w="2256"/>
            <w:shd w:val="clear" w:color="auto" w:fill="F2F2F2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CO - ADRES - AI Medical Audit Phase I - Fixed</w:t>
            </w:r>
          </w:p>
        </w:tc>
        <w:tc>
          <w:tcPr>
            <w:tcW w:type="dxa" w:w="2256"/>
            <w:shd w:val="clear" w:color="auto" w:fill="F2F2F2"/>
            <w:shd w:val="clear" w:color="auto" w:fill="70AD47"/>
          </w:tcPr>
          <w:p>
            <w:pPr>
              <w:jc w:val="center"/>
            </w:pPr>
            <w:r>
              <w:rPr>
                <w:rFonts w:ascii="Calibri" w:hAnsi="Calibri"/>
                <w:color w:val="FFFFFF"/>
                <w:sz w:val="18"/>
              </w:rPr>
              <w:t>Facturable</w:t>
            </w:r>
          </w:p>
        </w:tc>
        <w:tc>
          <w:tcPr>
            <w:tcW w:type="dxa" w:w="2256"/>
            <w:shd w:val="clear" w:color="auto" w:fill="F2F2F2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26</w:t>
            </w:r>
          </w:p>
        </w:tc>
        <w:tc>
          <w:tcPr>
            <w:tcW w:type="dxa" w:w="2256"/>
            <w:shd w:val="clear" w:color="auto" w:fill="F2F2F2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13.4%</w:t>
            </w:r>
          </w:p>
        </w:tc>
      </w:tr>
      <w:tr>
        <w:tc>
          <w:tcPr>
            <w:tcW w:type="dxa" w:w="2256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Time Off &amp; Holiday</w:t>
            </w:r>
          </w:p>
        </w:tc>
        <w:tc>
          <w:tcPr>
            <w:tcW w:type="dxa" w:w="2256"/>
            <w:shd w:val="clear" w:color="auto" w:fill="FFD966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Vacaciones/Ausencia</w:t>
            </w:r>
          </w:p>
        </w:tc>
        <w:tc>
          <w:tcPr>
            <w:tcW w:type="dxa" w:w="2256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22</w:t>
            </w:r>
          </w:p>
        </w:tc>
        <w:tc>
          <w:tcPr>
            <w:tcW w:type="dxa" w:w="2256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11.3%</w:t>
            </w:r>
          </w:p>
        </w:tc>
      </w:tr>
      <w:tr>
        <w:tc>
          <w:tcPr>
            <w:tcW w:type="dxa" w:w="2256"/>
            <w:shd w:val="clear" w:color="auto" w:fill="F2F2F2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Meetings &amp; Training</w:t>
            </w:r>
          </w:p>
        </w:tc>
        <w:tc>
          <w:tcPr>
            <w:tcW w:type="dxa" w:w="2256"/>
            <w:shd w:val="clear" w:color="auto" w:fill="F2F2F2"/>
            <w:shd w:val="clear" w:color="auto" w:fill="BDD7EE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Interno/Administrativo</w:t>
            </w:r>
          </w:p>
        </w:tc>
        <w:tc>
          <w:tcPr>
            <w:tcW w:type="dxa" w:w="2256"/>
            <w:shd w:val="clear" w:color="auto" w:fill="F2F2F2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18</w:t>
            </w:r>
          </w:p>
        </w:tc>
        <w:tc>
          <w:tcPr>
            <w:tcW w:type="dxa" w:w="2256"/>
            <w:shd w:val="clear" w:color="auto" w:fill="F2F2F2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9.3%</w:t>
            </w:r>
          </w:p>
        </w:tc>
      </w:tr>
      <w:tr>
        <w:tc>
          <w:tcPr>
            <w:tcW w:type="dxa" w:w="2256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UNA - Contrato 4 - Servicio Computacion -Ret</w:t>
            </w:r>
          </w:p>
        </w:tc>
        <w:tc>
          <w:tcPr>
            <w:tcW w:type="dxa" w:w="2256"/>
            <w:shd w:val="clear" w:color="auto" w:fill="70AD47"/>
          </w:tcPr>
          <w:p>
            <w:pPr>
              <w:jc w:val="center"/>
            </w:pPr>
            <w:r>
              <w:rPr>
                <w:rFonts w:ascii="Calibri" w:hAnsi="Calibri"/>
                <w:color w:val="FFFFFF"/>
                <w:sz w:val="18"/>
              </w:rPr>
              <w:t>Facturable</w:t>
            </w:r>
          </w:p>
        </w:tc>
        <w:tc>
          <w:tcPr>
            <w:tcW w:type="dxa" w:w="2256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16</w:t>
            </w:r>
          </w:p>
        </w:tc>
        <w:tc>
          <w:tcPr>
            <w:tcW w:type="dxa" w:w="2256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8.2%</w:t>
            </w:r>
          </w:p>
        </w:tc>
      </w:tr>
      <w:tr>
        <w:tc>
          <w:tcPr>
            <w:tcW w:type="dxa" w:w="2256"/>
            <w:shd w:val="clear" w:color="auto" w:fill="F2F2F2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MMN - Cloud Sistema de Recaudo - Ret</w:t>
            </w:r>
          </w:p>
        </w:tc>
        <w:tc>
          <w:tcPr>
            <w:tcW w:type="dxa" w:w="2256"/>
            <w:shd w:val="clear" w:color="auto" w:fill="F2F2F2"/>
            <w:shd w:val="clear" w:color="auto" w:fill="70AD47"/>
          </w:tcPr>
          <w:p>
            <w:pPr>
              <w:jc w:val="center"/>
            </w:pPr>
            <w:r>
              <w:rPr>
                <w:rFonts w:ascii="Calibri" w:hAnsi="Calibri"/>
                <w:color w:val="FFFFFF"/>
                <w:sz w:val="18"/>
              </w:rPr>
              <w:t>Facturable</w:t>
            </w:r>
          </w:p>
        </w:tc>
        <w:tc>
          <w:tcPr>
            <w:tcW w:type="dxa" w:w="2256"/>
            <w:shd w:val="clear" w:color="auto" w:fill="F2F2F2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12</w:t>
            </w:r>
          </w:p>
        </w:tc>
        <w:tc>
          <w:tcPr>
            <w:tcW w:type="dxa" w:w="2256"/>
            <w:shd w:val="clear" w:color="auto" w:fill="F2F2F2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6.2%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47546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pm_Diana_Rojas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4754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/>
        <w:jc w:val="center"/>
      </w:pPr>
      <w:r>
        <w:rPr>
          <w:rFonts w:ascii="Calibri" w:hAnsi="Calibri"/>
          <w:b w:val="0"/>
          <w:i/>
          <w:color w:val="595959"/>
          <w:sz w:val="18"/>
        </w:rPr>
        <w:t>Figura. Distribución de horas por proyecto – Diana Rojas – Marzo 2026</w:t>
      </w:r>
    </w:p>
    <w:p>
      <w:pPr>
        <w:pBdr>
          <w:bottom w:val="single" w:sz="6" w:space="1" w:color="BDD7EE"/>
        </w:pBdr>
        <w:spacing w:after="120"/>
      </w:pPr>
    </w:p>
    <w:p>
      <w:pPr>
        <w:pStyle w:val="Ttulo2"/>
      </w:pPr>
      <w:r>
        <w:rPr>
          <w:rFonts w:ascii="Calibri" w:hAnsi="Calibri"/>
          <w:b/>
          <w:color w:val="0070C0"/>
          <w:sz w:val="26"/>
        </w:rPr>
        <w:t>3.5. Indira Duarte</w:t>
      </w:r>
    </w:p>
    <w:tbl>
      <w:tblPr>
        <w:tblStyle w:val="Tablaconcuadrcula"/>
        <w:tblW w:type="auto" w:w="0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c>
          <w:tcPr>
            <w:tcW w:type="dxa" w:w="2304"/>
            <w:shd w:val="clear" w:color="auto" w:fill="00305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Proyectos Activos</w:t>
              <w:br/>
            </w:r>
            <w:r>
              <w:rPr>
                <w:rFonts w:ascii="Calibri" w:hAnsi="Calibri"/>
                <w:b/>
                <w:color w:val="FFFFFF"/>
                <w:sz w:val="28"/>
              </w:rPr>
              <w:t>4</w:t>
            </w:r>
          </w:p>
        </w:tc>
        <w:tc>
          <w:tcPr>
            <w:tcW w:type="dxa" w:w="2304"/>
            <w:shd w:val="clear" w:color="auto" w:fill="0070C0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Horas Marzo</w:t>
              <w:br/>
            </w:r>
            <w:r>
              <w:rPr>
                <w:rFonts w:ascii="Calibri" w:hAnsi="Calibri"/>
                <w:b/>
                <w:color w:val="FFFFFF"/>
                <w:sz w:val="28"/>
              </w:rPr>
              <w:t>203h</w:t>
            </w:r>
          </w:p>
        </w:tc>
        <w:tc>
          <w:tcPr>
            <w:tcW w:type="dxa" w:w="2304"/>
            <w:shd w:val="clear" w:color="auto" w:fill="00305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% Capacidad Marzo</w:t>
              <w:br/>
            </w:r>
            <w:r>
              <w:rPr>
                <w:rFonts w:ascii="Calibri" w:hAnsi="Calibri"/>
                <w:b/>
                <w:color w:val="FFFFFF"/>
                <w:sz w:val="28"/>
              </w:rPr>
              <w:t>104.9%</w:t>
            </w:r>
          </w:p>
        </w:tc>
        <w:tc>
          <w:tcPr>
            <w:tcW w:type="dxa" w:w="2304"/>
            <w:shd w:val="clear" w:color="auto" w:fill="0070C0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Horas Abril</w:t>
              <w:br/>
            </w:r>
            <w:r>
              <w:rPr>
                <w:rFonts w:ascii="Calibri" w:hAnsi="Calibri"/>
                <w:b/>
                <w:color w:val="FFFFFF"/>
                <w:sz w:val="28"/>
              </w:rPr>
              <w:t>57h</w:t>
            </w:r>
          </w:p>
        </w:tc>
      </w:tr>
    </w:tbl>
    <w:p/>
    <w:p>
      <w:pPr>
        <w:spacing w:before="0" w:after="120"/>
        <w:jc w:val="left"/>
      </w:pPr>
      <w:r>
        <w:rPr>
          <w:rFonts w:ascii="Calibri" w:hAnsi="Calibri"/>
          <w:b w:val="0"/>
          <w:i w:val="0"/>
          <w:sz w:val="22"/>
        </w:rPr>
        <w:t>Indira registró 203 horas en marzo (104.6% de capacidad), la mayor sobrecarga del equipo. El 88.2% de su tiempo fue dedicado al proyecto ADRES AI Medical Audit Phase I, con solo el 11.8% en reuniones internas.</w:t>
      </w:r>
    </w:p>
    <w:p>
      <w:pPr>
        <w:spacing w:after="120"/>
        <w:ind w:left="283"/>
      </w:pPr>
      <w:r>
        <w:rPr>
          <w:rFonts w:ascii="Calibri" w:hAnsi="Calibri"/>
          <w:b/>
          <w:color w:val="FF6B00"/>
          <w:sz w:val="22"/>
        </w:rPr>
        <w:t xml:space="preserve">⚑ Alerta: </w:t>
      </w:r>
      <w:r>
        <w:rPr>
          <w:rFonts w:ascii="Calibri" w:hAnsi="Calibri"/>
          <w:color w:val="404040"/>
          <w:sz w:val="22"/>
        </w:rPr>
        <w:t>Sobrecarga crítica (104.6%). Concentración extrema en un solo proyecto (88.2%). Se recomienda asignar soporte o redistribuir tareas dentro del proyecto ADRES.</w:t>
      </w:r>
    </w:p>
    <w:p>
      <w:pPr>
        <w:pStyle w:val="Ttulo2"/>
      </w:pPr>
      <w:r>
        <w:rPr>
          <w:rFonts w:ascii="Calibri" w:hAnsi="Calibri"/>
          <w:b/>
          <w:color w:val="003059"/>
          <w:sz w:val="22"/>
        </w:rPr>
        <w:t>Principales proyectos – Marzo 2026</w:t>
      </w:r>
    </w:p>
    <w:tbl>
      <w:tblPr>
        <w:tblStyle w:val="Tablaconcuadrcula"/>
        <w:tblW w:type="auto" w:w="0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shd w:val="clear" w:color="auto" w:fill="0070C0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Proyecto</w:t>
            </w:r>
          </w:p>
        </w:tc>
        <w:tc>
          <w:tcPr>
            <w:tcW w:type="dxa" w:w="2256"/>
            <w:shd w:val="clear" w:color="auto" w:fill="0070C0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Categoría</w:t>
            </w:r>
          </w:p>
        </w:tc>
        <w:tc>
          <w:tcPr>
            <w:tcW w:type="dxa" w:w="2256"/>
            <w:shd w:val="clear" w:color="auto" w:fill="0070C0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Horas Marzo</w:t>
            </w:r>
          </w:p>
        </w:tc>
        <w:tc>
          <w:tcPr>
            <w:tcW w:type="dxa" w:w="2256"/>
            <w:shd w:val="clear" w:color="auto" w:fill="0070C0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% del Total</w:t>
            </w:r>
          </w:p>
        </w:tc>
      </w:tr>
      <w:tr>
        <w:tc>
          <w:tcPr>
            <w:tcW w:type="dxa" w:w="2256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CO - ADRES - AI Medical Audit Phase I - Fixed</w:t>
            </w:r>
          </w:p>
        </w:tc>
        <w:tc>
          <w:tcPr>
            <w:tcW w:type="dxa" w:w="2256"/>
            <w:shd w:val="clear" w:color="auto" w:fill="70AD47"/>
          </w:tcPr>
          <w:p>
            <w:pPr>
              <w:jc w:val="center"/>
            </w:pPr>
            <w:r>
              <w:rPr>
                <w:rFonts w:ascii="Calibri" w:hAnsi="Calibri"/>
                <w:color w:val="FFFFFF"/>
                <w:sz w:val="18"/>
              </w:rPr>
              <w:t>Facturable</w:t>
            </w:r>
          </w:p>
        </w:tc>
        <w:tc>
          <w:tcPr>
            <w:tcW w:type="dxa" w:w="2256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179</w:t>
            </w:r>
          </w:p>
        </w:tc>
        <w:tc>
          <w:tcPr>
            <w:tcW w:type="dxa" w:w="2256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88.2%</w:t>
            </w:r>
          </w:p>
        </w:tc>
      </w:tr>
      <w:tr>
        <w:tc>
          <w:tcPr>
            <w:tcW w:type="dxa" w:w="2256"/>
            <w:shd w:val="clear" w:color="auto" w:fill="F2F2F2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Meetings &amp; Training</w:t>
            </w:r>
          </w:p>
        </w:tc>
        <w:tc>
          <w:tcPr>
            <w:tcW w:type="dxa" w:w="2256"/>
            <w:shd w:val="clear" w:color="auto" w:fill="F2F2F2"/>
            <w:shd w:val="clear" w:color="auto" w:fill="BDD7EE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Interno/Administrativo</w:t>
            </w:r>
          </w:p>
        </w:tc>
        <w:tc>
          <w:tcPr>
            <w:tcW w:type="dxa" w:w="2256"/>
            <w:shd w:val="clear" w:color="auto" w:fill="F2F2F2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24</w:t>
            </w:r>
          </w:p>
        </w:tc>
        <w:tc>
          <w:tcPr>
            <w:tcW w:type="dxa" w:w="2256"/>
            <w:shd w:val="clear" w:color="auto" w:fill="F2F2F2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11.8%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468169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pm_Indira_Duart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4681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/>
        <w:jc w:val="center"/>
      </w:pPr>
      <w:r>
        <w:rPr>
          <w:rFonts w:ascii="Calibri" w:hAnsi="Calibri"/>
          <w:b w:val="0"/>
          <w:i/>
          <w:color w:val="595959"/>
          <w:sz w:val="18"/>
        </w:rPr>
        <w:t>Figura. Distribución de horas por proyecto – Indira Duarte – Marzo 2026</w:t>
      </w:r>
    </w:p>
    <w:p>
      <w:pPr>
        <w:pBdr>
          <w:bottom w:val="single" w:sz="6" w:space="1" w:color="BDD7EE"/>
        </w:pBdr>
        <w:spacing w:after="120"/>
      </w:pPr>
    </w:p>
    <w:p>
      <w:pPr>
        <w:pStyle w:val="Ttulo2"/>
      </w:pPr>
      <w:r>
        <w:rPr>
          <w:rFonts w:ascii="Calibri" w:hAnsi="Calibri"/>
          <w:b/>
          <w:color w:val="0070C0"/>
          <w:sz w:val="26"/>
        </w:rPr>
        <w:t>3.6. Juan Bernal</w:t>
      </w:r>
    </w:p>
    <w:tbl>
      <w:tblPr>
        <w:tblStyle w:val="Tablaconcuadrcula"/>
        <w:tblW w:type="auto" w:w="0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c>
          <w:tcPr>
            <w:tcW w:type="dxa" w:w="2304"/>
            <w:shd w:val="clear" w:color="auto" w:fill="00305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Proyectos Activos</w:t>
              <w:br/>
            </w:r>
            <w:r>
              <w:rPr>
                <w:rFonts w:ascii="Calibri" w:hAnsi="Calibri"/>
                <w:b/>
                <w:color w:val="FFFFFF"/>
                <w:sz w:val="28"/>
              </w:rPr>
              <w:t>26</w:t>
            </w:r>
          </w:p>
        </w:tc>
        <w:tc>
          <w:tcPr>
            <w:tcW w:type="dxa" w:w="2304"/>
            <w:shd w:val="clear" w:color="auto" w:fill="0070C0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Horas Marzo</w:t>
              <w:br/>
            </w:r>
            <w:r>
              <w:rPr>
                <w:rFonts w:ascii="Calibri" w:hAnsi="Calibri"/>
                <w:b/>
                <w:color w:val="FFFFFF"/>
                <w:sz w:val="28"/>
              </w:rPr>
              <w:t>194h</w:t>
            </w:r>
          </w:p>
        </w:tc>
        <w:tc>
          <w:tcPr>
            <w:tcW w:type="dxa" w:w="2304"/>
            <w:shd w:val="clear" w:color="auto" w:fill="00305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% Capacidad Marzo</w:t>
              <w:br/>
            </w:r>
            <w:r>
              <w:rPr>
                <w:rFonts w:ascii="Calibri" w:hAnsi="Calibri"/>
                <w:b/>
                <w:color w:val="FFFFFF"/>
                <w:sz w:val="28"/>
              </w:rPr>
              <w:t>100.2%</w:t>
            </w:r>
          </w:p>
        </w:tc>
        <w:tc>
          <w:tcPr>
            <w:tcW w:type="dxa" w:w="2304"/>
            <w:shd w:val="clear" w:color="auto" w:fill="0070C0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Horas Abril</w:t>
              <w:br/>
            </w:r>
            <w:r>
              <w:rPr>
                <w:rFonts w:ascii="Calibri" w:hAnsi="Calibri"/>
                <w:b/>
                <w:color w:val="FFFFFF"/>
                <w:sz w:val="28"/>
              </w:rPr>
              <w:t>53h</w:t>
            </w:r>
          </w:p>
        </w:tc>
      </w:tr>
    </w:tbl>
    <w:p/>
    <w:p>
      <w:pPr>
        <w:spacing w:before="0" w:after="120"/>
        <w:jc w:val="left"/>
      </w:pPr>
      <w:r>
        <w:rPr>
          <w:rFonts w:ascii="Calibri" w:hAnsi="Calibri"/>
          <w:b w:val="0"/>
          <w:i w:val="0"/>
          <w:sz w:val="22"/>
        </w:rPr>
        <w:t>Juan maneja una cartera diversificada con 26 proyectos activos. En marzo distribuyó sus horas entre clientes del sector público colombiano: ICFES, JPM Cloud Services, Secretaría del Hábitat (SDH), DIAN y BID.</w:t>
      </w:r>
    </w:p>
    <w:p>
      <w:pPr>
        <w:spacing w:after="120"/>
        <w:ind w:left="283"/>
      </w:pPr>
      <w:r>
        <w:rPr>
          <w:rFonts w:ascii="Calibri" w:hAnsi="Calibri"/>
          <w:b/>
          <w:color w:val="FF6B00"/>
          <w:sz w:val="22"/>
        </w:rPr>
        <w:t xml:space="preserve">⚑ Alerta: </w:t>
      </w:r>
      <w:r>
        <w:rPr>
          <w:rFonts w:ascii="Calibri" w:hAnsi="Calibri"/>
          <w:color w:val="404040"/>
          <w:sz w:val="22"/>
        </w:rPr>
        <w:t>La distribución es relativamente equilibrada entre proyectos. El proyecto SDH y JPM consumen mayor tiempo de gestión.</w:t>
      </w:r>
    </w:p>
    <w:p>
      <w:pPr>
        <w:pStyle w:val="Ttulo2"/>
      </w:pPr>
      <w:r>
        <w:rPr>
          <w:rFonts w:ascii="Calibri" w:hAnsi="Calibri"/>
          <w:b/>
          <w:color w:val="003059"/>
          <w:sz w:val="22"/>
        </w:rPr>
        <w:t>Principales proyectos – Marzo 2026</w:t>
      </w:r>
    </w:p>
    <w:tbl>
      <w:tblPr>
        <w:tblStyle w:val="Tablaconcuadrcula"/>
        <w:tblW w:type="auto" w:w="0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shd w:val="clear" w:color="auto" w:fill="0070C0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Proyecto</w:t>
            </w:r>
          </w:p>
        </w:tc>
        <w:tc>
          <w:tcPr>
            <w:tcW w:type="dxa" w:w="2256"/>
            <w:shd w:val="clear" w:color="auto" w:fill="0070C0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Categoría</w:t>
            </w:r>
          </w:p>
        </w:tc>
        <w:tc>
          <w:tcPr>
            <w:tcW w:type="dxa" w:w="2256"/>
            <w:shd w:val="clear" w:color="auto" w:fill="0070C0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Horas Marzo</w:t>
            </w:r>
          </w:p>
        </w:tc>
        <w:tc>
          <w:tcPr>
            <w:tcW w:type="dxa" w:w="2256"/>
            <w:shd w:val="clear" w:color="auto" w:fill="0070C0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% del Total</w:t>
            </w:r>
          </w:p>
        </w:tc>
      </w:tr>
      <w:tr>
        <w:tc>
          <w:tcPr>
            <w:tcW w:type="dxa" w:w="2256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SDH - Datalake secretaria del Hábitat - Ret</w:t>
            </w:r>
          </w:p>
        </w:tc>
        <w:tc>
          <w:tcPr>
            <w:tcW w:type="dxa" w:w="2256"/>
            <w:shd w:val="clear" w:color="auto" w:fill="70AD47"/>
          </w:tcPr>
          <w:p>
            <w:pPr>
              <w:jc w:val="center"/>
            </w:pPr>
            <w:r>
              <w:rPr>
                <w:rFonts w:ascii="Calibri" w:hAnsi="Calibri"/>
                <w:color w:val="FFFFFF"/>
                <w:sz w:val="18"/>
              </w:rPr>
              <w:t>Facturable</w:t>
            </w:r>
          </w:p>
        </w:tc>
        <w:tc>
          <w:tcPr>
            <w:tcW w:type="dxa" w:w="2256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30</w:t>
            </w:r>
          </w:p>
        </w:tc>
        <w:tc>
          <w:tcPr>
            <w:tcW w:type="dxa" w:w="2256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15.5%</w:t>
            </w:r>
          </w:p>
        </w:tc>
      </w:tr>
      <w:tr>
        <w:tc>
          <w:tcPr>
            <w:tcW w:type="dxa" w:w="2256"/>
            <w:shd w:val="clear" w:color="auto" w:fill="F2F2F2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JPM - Cloud Managed  Services 2023-25 - Ret</w:t>
            </w:r>
          </w:p>
        </w:tc>
        <w:tc>
          <w:tcPr>
            <w:tcW w:type="dxa" w:w="2256"/>
            <w:shd w:val="clear" w:color="auto" w:fill="F2F2F2"/>
            <w:shd w:val="clear" w:color="auto" w:fill="70AD47"/>
          </w:tcPr>
          <w:p>
            <w:pPr>
              <w:jc w:val="center"/>
            </w:pPr>
            <w:r>
              <w:rPr>
                <w:rFonts w:ascii="Calibri" w:hAnsi="Calibri"/>
                <w:color w:val="FFFFFF"/>
                <w:sz w:val="18"/>
              </w:rPr>
              <w:t>Facturable</w:t>
            </w:r>
          </w:p>
        </w:tc>
        <w:tc>
          <w:tcPr>
            <w:tcW w:type="dxa" w:w="2256"/>
            <w:shd w:val="clear" w:color="auto" w:fill="F2F2F2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27</w:t>
            </w:r>
          </w:p>
        </w:tc>
        <w:tc>
          <w:tcPr>
            <w:tcW w:type="dxa" w:w="2256"/>
            <w:shd w:val="clear" w:color="auto" w:fill="F2F2F2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13.9%</w:t>
            </w:r>
          </w:p>
        </w:tc>
      </w:tr>
      <w:tr>
        <w:tc>
          <w:tcPr>
            <w:tcW w:type="dxa" w:w="2256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DIA - Aprovisionamiento multinube - Lote 3 - CLOUD</w:t>
            </w:r>
          </w:p>
        </w:tc>
        <w:tc>
          <w:tcPr>
            <w:tcW w:type="dxa" w:w="2256"/>
            <w:shd w:val="clear" w:color="auto" w:fill="70AD47"/>
          </w:tcPr>
          <w:p>
            <w:pPr>
              <w:jc w:val="center"/>
            </w:pPr>
            <w:r>
              <w:rPr>
                <w:rFonts w:ascii="Calibri" w:hAnsi="Calibri"/>
                <w:color w:val="FFFFFF"/>
                <w:sz w:val="18"/>
              </w:rPr>
              <w:t>Facturable</w:t>
            </w:r>
          </w:p>
        </w:tc>
        <w:tc>
          <w:tcPr>
            <w:tcW w:type="dxa" w:w="2256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20</w:t>
            </w:r>
          </w:p>
        </w:tc>
        <w:tc>
          <w:tcPr>
            <w:tcW w:type="dxa" w:w="2256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10.3%</w:t>
            </w:r>
          </w:p>
        </w:tc>
      </w:tr>
      <w:tr>
        <w:tc>
          <w:tcPr>
            <w:tcW w:type="dxa" w:w="2256"/>
            <w:shd w:val="clear" w:color="auto" w:fill="F2F2F2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SAN - Soporte y mantenimiento Quipu 2025 - Ret</w:t>
            </w:r>
          </w:p>
        </w:tc>
        <w:tc>
          <w:tcPr>
            <w:tcW w:type="dxa" w:w="2256"/>
            <w:shd w:val="clear" w:color="auto" w:fill="F2F2F2"/>
            <w:shd w:val="clear" w:color="auto" w:fill="70AD47"/>
          </w:tcPr>
          <w:p>
            <w:pPr>
              <w:jc w:val="center"/>
            </w:pPr>
            <w:r>
              <w:rPr>
                <w:rFonts w:ascii="Calibri" w:hAnsi="Calibri"/>
                <w:color w:val="FFFFFF"/>
                <w:sz w:val="18"/>
              </w:rPr>
              <w:t>Facturable</w:t>
            </w:r>
          </w:p>
        </w:tc>
        <w:tc>
          <w:tcPr>
            <w:tcW w:type="dxa" w:w="2256"/>
            <w:shd w:val="clear" w:color="auto" w:fill="F2F2F2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20</w:t>
            </w:r>
          </w:p>
        </w:tc>
        <w:tc>
          <w:tcPr>
            <w:tcW w:type="dxa" w:w="2256"/>
            <w:shd w:val="clear" w:color="auto" w:fill="F2F2F2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10.3%</w:t>
            </w:r>
          </w:p>
        </w:tc>
      </w:tr>
      <w:tr>
        <w:tc>
          <w:tcPr>
            <w:tcW w:type="dxa" w:w="2256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CO - Icfes - Datalake - (Nov25 - Ene26) - Fixed</w:t>
            </w:r>
          </w:p>
        </w:tc>
        <w:tc>
          <w:tcPr>
            <w:tcW w:type="dxa" w:w="2256"/>
            <w:shd w:val="clear" w:color="auto" w:fill="70AD47"/>
          </w:tcPr>
          <w:p>
            <w:pPr>
              <w:jc w:val="center"/>
            </w:pPr>
            <w:r>
              <w:rPr>
                <w:rFonts w:ascii="Calibri" w:hAnsi="Calibri"/>
                <w:color w:val="FFFFFF"/>
                <w:sz w:val="18"/>
              </w:rPr>
              <w:t>Facturable</w:t>
            </w:r>
          </w:p>
        </w:tc>
        <w:tc>
          <w:tcPr>
            <w:tcW w:type="dxa" w:w="2256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18</w:t>
            </w:r>
          </w:p>
        </w:tc>
        <w:tc>
          <w:tcPr>
            <w:tcW w:type="dxa" w:w="2256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9.3%</w:t>
            </w:r>
          </w:p>
        </w:tc>
      </w:tr>
      <w:tr>
        <w:tc>
          <w:tcPr>
            <w:tcW w:type="dxa" w:w="2256"/>
            <w:shd w:val="clear" w:color="auto" w:fill="F2F2F2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CO - ICFES - Citación con Georreferenciación - Fixed</w:t>
            </w:r>
          </w:p>
        </w:tc>
        <w:tc>
          <w:tcPr>
            <w:tcW w:type="dxa" w:w="2256"/>
            <w:shd w:val="clear" w:color="auto" w:fill="F2F2F2"/>
            <w:shd w:val="clear" w:color="auto" w:fill="70AD47"/>
          </w:tcPr>
          <w:p>
            <w:pPr>
              <w:jc w:val="center"/>
            </w:pPr>
            <w:r>
              <w:rPr>
                <w:rFonts w:ascii="Calibri" w:hAnsi="Calibri"/>
                <w:color w:val="FFFFFF"/>
                <w:sz w:val="18"/>
              </w:rPr>
              <w:t>Facturable</w:t>
            </w:r>
          </w:p>
        </w:tc>
        <w:tc>
          <w:tcPr>
            <w:tcW w:type="dxa" w:w="2256"/>
            <w:shd w:val="clear" w:color="auto" w:fill="F2F2F2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18</w:t>
            </w:r>
          </w:p>
        </w:tc>
        <w:tc>
          <w:tcPr>
            <w:tcW w:type="dxa" w:w="2256"/>
            <w:shd w:val="clear" w:color="auto" w:fill="F2F2F2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9.3%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468259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pm_Juan_Bernal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4682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/>
        <w:jc w:val="center"/>
      </w:pPr>
      <w:r>
        <w:rPr>
          <w:rFonts w:ascii="Calibri" w:hAnsi="Calibri"/>
          <w:b w:val="0"/>
          <w:i/>
          <w:color w:val="595959"/>
          <w:sz w:val="18"/>
        </w:rPr>
        <w:t>Figura. Distribución de horas por proyecto – Juan Bernal – Marzo 2026</w:t>
      </w:r>
    </w:p>
    <w:p>
      <w:pPr>
        <w:pBdr>
          <w:bottom w:val="single" w:sz="6" w:space="1" w:color="BDD7EE"/>
        </w:pBdr>
        <w:spacing w:after="120"/>
      </w:pPr>
    </w:p>
    <w:p>
      <w:pPr>
        <w:pStyle w:val="Ttulo2"/>
      </w:pPr>
      <w:r>
        <w:rPr>
          <w:rFonts w:ascii="Calibri" w:hAnsi="Calibri"/>
          <w:b/>
          <w:color w:val="0070C0"/>
          <w:sz w:val="26"/>
        </w:rPr>
        <w:t>3.7. Kelly Carbonell</w:t>
      </w:r>
    </w:p>
    <w:tbl>
      <w:tblPr>
        <w:tblStyle w:val="Tablaconcuadrcula"/>
        <w:tblW w:type="auto" w:w="0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c>
          <w:tcPr>
            <w:tcW w:type="dxa" w:w="2304"/>
            <w:shd w:val="clear" w:color="auto" w:fill="00305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Proyectos Activos</w:t>
              <w:br/>
            </w:r>
            <w:r>
              <w:rPr>
                <w:rFonts w:ascii="Calibri" w:hAnsi="Calibri"/>
                <w:b/>
                <w:color w:val="FFFFFF"/>
                <w:sz w:val="28"/>
              </w:rPr>
              <w:t>14</w:t>
            </w:r>
          </w:p>
        </w:tc>
        <w:tc>
          <w:tcPr>
            <w:tcW w:type="dxa" w:w="2304"/>
            <w:shd w:val="clear" w:color="auto" w:fill="0070C0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Horas Marzo</w:t>
              <w:br/>
            </w:r>
            <w:r>
              <w:rPr>
                <w:rFonts w:ascii="Calibri" w:hAnsi="Calibri"/>
                <w:b/>
                <w:color w:val="FFFFFF"/>
                <w:sz w:val="28"/>
              </w:rPr>
              <w:t>194h</w:t>
            </w:r>
          </w:p>
        </w:tc>
        <w:tc>
          <w:tcPr>
            <w:tcW w:type="dxa" w:w="2304"/>
            <w:shd w:val="clear" w:color="auto" w:fill="00305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% Capacidad Marzo</w:t>
              <w:br/>
            </w:r>
            <w:r>
              <w:rPr>
                <w:rFonts w:ascii="Calibri" w:hAnsi="Calibri"/>
                <w:b/>
                <w:color w:val="FFFFFF"/>
                <w:sz w:val="28"/>
              </w:rPr>
              <w:t>100.2%</w:t>
            </w:r>
          </w:p>
        </w:tc>
        <w:tc>
          <w:tcPr>
            <w:tcW w:type="dxa" w:w="2304"/>
            <w:shd w:val="clear" w:color="auto" w:fill="0070C0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Horas Abril</w:t>
              <w:br/>
            </w:r>
            <w:r>
              <w:rPr>
                <w:rFonts w:ascii="Calibri" w:hAnsi="Calibri"/>
                <w:b/>
                <w:color w:val="FFFFFF"/>
                <w:sz w:val="28"/>
              </w:rPr>
              <w:t>70h</w:t>
            </w:r>
          </w:p>
        </w:tc>
      </w:tr>
    </w:tbl>
    <w:p/>
    <w:p>
      <w:pPr>
        <w:spacing w:before="0" w:after="120"/>
        <w:jc w:val="left"/>
      </w:pPr>
      <w:r>
        <w:rPr>
          <w:rFonts w:ascii="Calibri" w:hAnsi="Calibri"/>
          <w:b w:val="0"/>
          <w:i w:val="0"/>
          <w:sz w:val="22"/>
        </w:rPr>
        <w:t>Kelly gestiona proyectos estratégicos de infraestructura para clientes como Cali (Tesorería a un Clic), BTG Pactual y Fiduagraria. El proyecto Treasury at a Click en Cali es el de mayor demanda (33.5% de sus horas de marzo).</w:t>
      </w:r>
    </w:p>
    <w:p>
      <w:pPr>
        <w:spacing w:after="120"/>
        <w:ind w:left="283"/>
      </w:pPr>
      <w:r>
        <w:rPr>
          <w:rFonts w:ascii="Calibri" w:hAnsi="Calibri"/>
          <w:b/>
          <w:color w:val="FF6B00"/>
          <w:sz w:val="22"/>
        </w:rPr>
        <w:t xml:space="preserve">⚑ Alerta: </w:t>
      </w:r>
      <w:r>
        <w:rPr>
          <w:rFonts w:ascii="Calibri" w:hAnsi="Calibri"/>
          <w:color w:val="404040"/>
          <w:sz w:val="22"/>
        </w:rPr>
        <w:t>Cartera manejable con 14 proyectos activos. Monitorear la evolución del proyecto Cali Mayors Office que concentra el mayor volumen.</w:t>
      </w:r>
    </w:p>
    <w:p>
      <w:pPr>
        <w:pStyle w:val="Ttulo2"/>
      </w:pPr>
      <w:r>
        <w:rPr>
          <w:rFonts w:ascii="Calibri" w:hAnsi="Calibri"/>
          <w:b/>
          <w:color w:val="003059"/>
          <w:sz w:val="22"/>
        </w:rPr>
        <w:t>Principales proyectos – Marzo 2026</w:t>
      </w:r>
    </w:p>
    <w:tbl>
      <w:tblPr>
        <w:tblStyle w:val="Tablaconcuadrcula"/>
        <w:tblW w:type="auto" w:w="0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shd w:val="clear" w:color="auto" w:fill="0070C0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Proyecto</w:t>
            </w:r>
          </w:p>
        </w:tc>
        <w:tc>
          <w:tcPr>
            <w:tcW w:type="dxa" w:w="2256"/>
            <w:shd w:val="clear" w:color="auto" w:fill="0070C0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Categoría</w:t>
            </w:r>
          </w:p>
        </w:tc>
        <w:tc>
          <w:tcPr>
            <w:tcW w:type="dxa" w:w="2256"/>
            <w:shd w:val="clear" w:color="auto" w:fill="0070C0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Horas Marzo</w:t>
            </w:r>
          </w:p>
        </w:tc>
        <w:tc>
          <w:tcPr>
            <w:tcW w:type="dxa" w:w="2256"/>
            <w:shd w:val="clear" w:color="auto" w:fill="0070C0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% del Total</w:t>
            </w:r>
          </w:p>
        </w:tc>
      </w:tr>
      <w:tr>
        <w:tc>
          <w:tcPr>
            <w:tcW w:type="dxa" w:w="2256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CO - Cali Mayors Office - Treasury at a Click - Fixed</w:t>
            </w:r>
          </w:p>
        </w:tc>
        <w:tc>
          <w:tcPr>
            <w:tcW w:type="dxa" w:w="2256"/>
            <w:shd w:val="clear" w:color="auto" w:fill="70AD47"/>
          </w:tcPr>
          <w:p>
            <w:pPr>
              <w:jc w:val="center"/>
            </w:pPr>
            <w:r>
              <w:rPr>
                <w:rFonts w:ascii="Calibri" w:hAnsi="Calibri"/>
                <w:color w:val="FFFFFF"/>
                <w:sz w:val="18"/>
              </w:rPr>
              <w:t>Facturable</w:t>
            </w:r>
          </w:p>
        </w:tc>
        <w:tc>
          <w:tcPr>
            <w:tcW w:type="dxa" w:w="2256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65</w:t>
            </w:r>
          </w:p>
        </w:tc>
        <w:tc>
          <w:tcPr>
            <w:tcW w:type="dxa" w:w="2256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33.5%</w:t>
            </w:r>
          </w:p>
        </w:tc>
      </w:tr>
      <w:tr>
        <w:tc>
          <w:tcPr>
            <w:tcW w:type="dxa" w:w="2256"/>
            <w:shd w:val="clear" w:color="auto" w:fill="F2F2F2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BTG - SmartCash - Operacion - Ret</w:t>
            </w:r>
          </w:p>
        </w:tc>
        <w:tc>
          <w:tcPr>
            <w:tcW w:type="dxa" w:w="2256"/>
            <w:shd w:val="clear" w:color="auto" w:fill="F2F2F2"/>
            <w:shd w:val="clear" w:color="auto" w:fill="70AD47"/>
          </w:tcPr>
          <w:p>
            <w:pPr>
              <w:jc w:val="center"/>
            </w:pPr>
            <w:r>
              <w:rPr>
                <w:rFonts w:ascii="Calibri" w:hAnsi="Calibri"/>
                <w:color w:val="FFFFFF"/>
                <w:sz w:val="18"/>
              </w:rPr>
              <w:t>Facturable</w:t>
            </w:r>
          </w:p>
        </w:tc>
        <w:tc>
          <w:tcPr>
            <w:tcW w:type="dxa" w:w="2256"/>
            <w:shd w:val="clear" w:color="auto" w:fill="F2F2F2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28</w:t>
            </w:r>
          </w:p>
        </w:tc>
        <w:tc>
          <w:tcPr>
            <w:tcW w:type="dxa" w:w="2256"/>
            <w:shd w:val="clear" w:color="auto" w:fill="F2F2F2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14.2%</w:t>
            </w:r>
          </w:p>
        </w:tc>
      </w:tr>
      <w:tr>
        <w:tc>
          <w:tcPr>
            <w:tcW w:type="dxa" w:w="2256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ACA - Virtualización infraestructura Cali - Ret</w:t>
            </w:r>
          </w:p>
        </w:tc>
        <w:tc>
          <w:tcPr>
            <w:tcW w:type="dxa" w:w="2256"/>
            <w:shd w:val="clear" w:color="auto" w:fill="70AD47"/>
          </w:tcPr>
          <w:p>
            <w:pPr>
              <w:jc w:val="center"/>
            </w:pPr>
            <w:r>
              <w:rPr>
                <w:rFonts w:ascii="Calibri" w:hAnsi="Calibri"/>
                <w:color w:val="FFFFFF"/>
                <w:sz w:val="18"/>
              </w:rPr>
              <w:t>Facturable</w:t>
            </w:r>
          </w:p>
        </w:tc>
        <w:tc>
          <w:tcPr>
            <w:tcW w:type="dxa" w:w="2256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26</w:t>
            </w:r>
          </w:p>
        </w:tc>
        <w:tc>
          <w:tcPr>
            <w:tcW w:type="dxa" w:w="2256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13.1%</w:t>
            </w:r>
          </w:p>
        </w:tc>
      </w:tr>
      <w:tr>
        <w:tc>
          <w:tcPr>
            <w:tcW w:type="dxa" w:w="2256"/>
            <w:shd w:val="clear" w:color="auto" w:fill="F2F2F2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ACA - Fase III Data Cali - Fixed</w:t>
            </w:r>
          </w:p>
        </w:tc>
        <w:tc>
          <w:tcPr>
            <w:tcW w:type="dxa" w:w="2256"/>
            <w:shd w:val="clear" w:color="auto" w:fill="F2F2F2"/>
            <w:shd w:val="clear" w:color="auto" w:fill="70AD47"/>
          </w:tcPr>
          <w:p>
            <w:pPr>
              <w:jc w:val="center"/>
            </w:pPr>
            <w:r>
              <w:rPr>
                <w:rFonts w:ascii="Calibri" w:hAnsi="Calibri"/>
                <w:color w:val="FFFFFF"/>
                <w:sz w:val="18"/>
              </w:rPr>
              <w:t>Facturable</w:t>
            </w:r>
          </w:p>
        </w:tc>
        <w:tc>
          <w:tcPr>
            <w:tcW w:type="dxa" w:w="2256"/>
            <w:shd w:val="clear" w:color="auto" w:fill="F2F2F2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20</w:t>
            </w:r>
          </w:p>
        </w:tc>
        <w:tc>
          <w:tcPr>
            <w:tcW w:type="dxa" w:w="2256"/>
            <w:shd w:val="clear" w:color="auto" w:fill="F2F2F2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10.3%</w:t>
            </w:r>
          </w:p>
        </w:tc>
      </w:tr>
      <w:tr>
        <w:tc>
          <w:tcPr>
            <w:tcW w:type="dxa" w:w="2256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PRO - SmartCash Operación - Ret</w:t>
            </w:r>
          </w:p>
        </w:tc>
        <w:tc>
          <w:tcPr>
            <w:tcW w:type="dxa" w:w="2256"/>
            <w:shd w:val="clear" w:color="auto" w:fill="70AD47"/>
          </w:tcPr>
          <w:p>
            <w:pPr>
              <w:jc w:val="center"/>
            </w:pPr>
            <w:r>
              <w:rPr>
                <w:rFonts w:ascii="Calibri" w:hAnsi="Calibri"/>
                <w:color w:val="FFFFFF"/>
                <w:sz w:val="18"/>
              </w:rPr>
              <w:t>Facturable</w:t>
            </w:r>
          </w:p>
        </w:tc>
        <w:tc>
          <w:tcPr>
            <w:tcW w:type="dxa" w:w="2256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12</w:t>
            </w:r>
          </w:p>
        </w:tc>
        <w:tc>
          <w:tcPr>
            <w:tcW w:type="dxa" w:w="2256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6.2%</w:t>
            </w:r>
          </w:p>
        </w:tc>
      </w:tr>
      <w:tr>
        <w:tc>
          <w:tcPr>
            <w:tcW w:type="dxa" w:w="2256"/>
            <w:shd w:val="clear" w:color="auto" w:fill="F2F2F2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CO - Fiduagraria - Renovación SmartCash - Fixed</w:t>
            </w:r>
          </w:p>
        </w:tc>
        <w:tc>
          <w:tcPr>
            <w:tcW w:type="dxa" w:w="2256"/>
            <w:shd w:val="clear" w:color="auto" w:fill="F2F2F2"/>
            <w:shd w:val="clear" w:color="auto" w:fill="70AD47"/>
          </w:tcPr>
          <w:p>
            <w:pPr>
              <w:jc w:val="center"/>
            </w:pPr>
            <w:r>
              <w:rPr>
                <w:rFonts w:ascii="Calibri" w:hAnsi="Calibri"/>
                <w:color w:val="FFFFFF"/>
                <w:sz w:val="18"/>
              </w:rPr>
              <w:t>Facturable</w:t>
            </w:r>
          </w:p>
        </w:tc>
        <w:tc>
          <w:tcPr>
            <w:tcW w:type="dxa" w:w="2256"/>
            <w:shd w:val="clear" w:color="auto" w:fill="F2F2F2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10</w:t>
            </w:r>
          </w:p>
        </w:tc>
        <w:tc>
          <w:tcPr>
            <w:tcW w:type="dxa" w:w="2256"/>
            <w:shd w:val="clear" w:color="auto" w:fill="F2F2F2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5.4%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475462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pm_Kelly_Carbonell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4754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/>
        <w:jc w:val="center"/>
      </w:pPr>
      <w:r>
        <w:rPr>
          <w:rFonts w:ascii="Calibri" w:hAnsi="Calibri"/>
          <w:b w:val="0"/>
          <w:i/>
          <w:color w:val="595959"/>
          <w:sz w:val="18"/>
        </w:rPr>
        <w:t>Figura. Distribución de horas por proyecto – Kelly Carbonell – Marzo 2026</w:t>
      </w:r>
    </w:p>
    <w:p>
      <w:pPr>
        <w:pBdr>
          <w:bottom w:val="single" w:sz="6" w:space="1" w:color="BDD7EE"/>
        </w:pBdr>
        <w:spacing w:after="120"/>
      </w:pPr>
    </w:p>
    <w:p>
      <w:pPr>
        <w:pStyle w:val="Ttulo2"/>
      </w:pPr>
      <w:r>
        <w:rPr>
          <w:rFonts w:ascii="Calibri" w:hAnsi="Calibri"/>
          <w:b/>
          <w:color w:val="0070C0"/>
          <w:sz w:val="26"/>
        </w:rPr>
        <w:t>3.8. Miguel Garcia</w:t>
      </w:r>
    </w:p>
    <w:tbl>
      <w:tblPr>
        <w:tblStyle w:val="Tablaconcuadrcula"/>
        <w:tblW w:type="auto" w:w="0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c>
          <w:tcPr>
            <w:tcW w:type="dxa" w:w="2304"/>
            <w:shd w:val="clear" w:color="auto" w:fill="00305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Proyectos Activos</w:t>
              <w:br/>
            </w:r>
            <w:r>
              <w:rPr>
                <w:rFonts w:ascii="Calibri" w:hAnsi="Calibri"/>
                <w:b/>
                <w:color w:val="FFFFFF"/>
                <w:sz w:val="28"/>
              </w:rPr>
              <w:t>15</w:t>
            </w:r>
          </w:p>
        </w:tc>
        <w:tc>
          <w:tcPr>
            <w:tcW w:type="dxa" w:w="2304"/>
            <w:shd w:val="clear" w:color="auto" w:fill="0070C0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Horas Marzo</w:t>
              <w:br/>
            </w:r>
            <w:r>
              <w:rPr>
                <w:rFonts w:ascii="Calibri" w:hAnsi="Calibri"/>
                <w:b/>
                <w:color w:val="FFFFFF"/>
                <w:sz w:val="28"/>
              </w:rPr>
              <w:t>194h</w:t>
            </w:r>
          </w:p>
        </w:tc>
        <w:tc>
          <w:tcPr>
            <w:tcW w:type="dxa" w:w="2304"/>
            <w:shd w:val="clear" w:color="auto" w:fill="00305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% Capacidad Marzo</w:t>
              <w:br/>
            </w:r>
            <w:r>
              <w:rPr>
                <w:rFonts w:ascii="Calibri" w:hAnsi="Calibri"/>
                <w:b/>
                <w:color w:val="FFFFFF"/>
                <w:sz w:val="28"/>
              </w:rPr>
              <w:t>100.2%</w:t>
            </w:r>
          </w:p>
        </w:tc>
        <w:tc>
          <w:tcPr>
            <w:tcW w:type="dxa" w:w="2304"/>
            <w:shd w:val="clear" w:color="auto" w:fill="0070C0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Horas Abril</w:t>
              <w:br/>
            </w:r>
            <w:r>
              <w:rPr>
                <w:rFonts w:ascii="Calibri" w:hAnsi="Calibri"/>
                <w:b/>
                <w:color w:val="FFFFFF"/>
                <w:sz w:val="28"/>
              </w:rPr>
              <w:t>114h</w:t>
            </w:r>
          </w:p>
        </w:tc>
      </w:tr>
    </w:tbl>
    <w:p/>
    <w:p>
      <w:pPr>
        <w:spacing w:before="0" w:after="120"/>
        <w:jc w:val="left"/>
      </w:pPr>
      <w:r>
        <w:rPr>
          <w:rFonts w:ascii="Calibri" w:hAnsi="Calibri"/>
          <w:b w:val="0"/>
          <w:i w:val="0"/>
          <w:sz w:val="22"/>
        </w:rPr>
        <w:t>Miguel trabaja en una mezcla de proyectos colombianos e internacionales. En marzo, el proyecto HotelPlanner (internacional) consumió el 25.8% de sus horas, seguido de proyectos nacionales como Secretaría de Educación (17% del tiempo).</w:t>
      </w:r>
    </w:p>
    <w:p>
      <w:pPr>
        <w:spacing w:after="120"/>
        <w:ind w:left="283"/>
      </w:pPr>
      <w:r>
        <w:rPr>
          <w:rFonts w:ascii="Calibri" w:hAnsi="Calibri"/>
          <w:b/>
          <w:color w:val="FF6B00"/>
          <w:sz w:val="22"/>
        </w:rPr>
        <w:t xml:space="preserve">⚑ Alerta: </w:t>
      </w:r>
      <w:r>
        <w:rPr>
          <w:rFonts w:ascii="Calibri" w:hAnsi="Calibri"/>
          <w:color w:val="404040"/>
          <w:sz w:val="22"/>
        </w:rPr>
        <w:t>La carga de reuniones y capacitaciones (68h en marzo = 35%) es elevada. Se recomienda revisar la dinámica de este PM.</w:t>
      </w:r>
    </w:p>
    <w:p>
      <w:pPr>
        <w:pStyle w:val="Ttulo2"/>
      </w:pPr>
      <w:r>
        <w:rPr>
          <w:rFonts w:ascii="Calibri" w:hAnsi="Calibri"/>
          <w:b/>
          <w:color w:val="003059"/>
          <w:sz w:val="22"/>
        </w:rPr>
        <w:t>Principales proyectos – Marzo 2026</w:t>
      </w:r>
    </w:p>
    <w:tbl>
      <w:tblPr>
        <w:tblStyle w:val="Tablaconcuadrcula"/>
        <w:tblW w:type="auto" w:w="0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shd w:val="clear" w:color="auto" w:fill="0070C0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Proyecto</w:t>
            </w:r>
          </w:p>
        </w:tc>
        <w:tc>
          <w:tcPr>
            <w:tcW w:type="dxa" w:w="2256"/>
            <w:shd w:val="clear" w:color="auto" w:fill="0070C0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Categoría</w:t>
            </w:r>
          </w:p>
        </w:tc>
        <w:tc>
          <w:tcPr>
            <w:tcW w:type="dxa" w:w="2256"/>
            <w:shd w:val="clear" w:color="auto" w:fill="0070C0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Horas Marzo</w:t>
            </w:r>
          </w:p>
        </w:tc>
        <w:tc>
          <w:tcPr>
            <w:tcW w:type="dxa" w:w="2256"/>
            <w:shd w:val="clear" w:color="auto" w:fill="0070C0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% del Total</w:t>
            </w:r>
          </w:p>
        </w:tc>
      </w:tr>
      <w:tr>
        <w:tc>
          <w:tcPr>
            <w:tcW w:type="dxa" w:w="2256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Meetings &amp; Training</w:t>
            </w:r>
          </w:p>
        </w:tc>
        <w:tc>
          <w:tcPr>
            <w:tcW w:type="dxa" w:w="2256"/>
            <w:shd w:val="clear" w:color="auto" w:fill="BDD7EE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Interno/Administrativo</w:t>
            </w:r>
          </w:p>
        </w:tc>
        <w:tc>
          <w:tcPr>
            <w:tcW w:type="dxa" w:w="2256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68</w:t>
            </w:r>
          </w:p>
        </w:tc>
        <w:tc>
          <w:tcPr>
            <w:tcW w:type="dxa" w:w="2256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35.1%</w:t>
            </w:r>
          </w:p>
        </w:tc>
      </w:tr>
      <w:tr>
        <w:tc>
          <w:tcPr>
            <w:tcW w:type="dxa" w:w="2256"/>
            <w:shd w:val="clear" w:color="auto" w:fill="F2F2F2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HotelPlanner - AWS Database Migration - Fix</w:t>
            </w:r>
          </w:p>
        </w:tc>
        <w:tc>
          <w:tcPr>
            <w:tcW w:type="dxa" w:w="2256"/>
            <w:shd w:val="clear" w:color="auto" w:fill="F2F2F2"/>
            <w:shd w:val="clear" w:color="auto" w:fill="70AD47"/>
          </w:tcPr>
          <w:p>
            <w:pPr>
              <w:jc w:val="center"/>
            </w:pPr>
            <w:r>
              <w:rPr>
                <w:rFonts w:ascii="Calibri" w:hAnsi="Calibri"/>
                <w:color w:val="FFFFFF"/>
                <w:sz w:val="18"/>
              </w:rPr>
              <w:t>Facturable</w:t>
            </w:r>
          </w:p>
        </w:tc>
        <w:tc>
          <w:tcPr>
            <w:tcW w:type="dxa" w:w="2256"/>
            <w:shd w:val="clear" w:color="auto" w:fill="F2F2F2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50</w:t>
            </w:r>
          </w:p>
        </w:tc>
        <w:tc>
          <w:tcPr>
            <w:tcW w:type="dxa" w:w="2256"/>
            <w:shd w:val="clear" w:color="auto" w:fill="F2F2F2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25.8%</w:t>
            </w:r>
          </w:p>
        </w:tc>
      </w:tr>
      <w:tr>
        <w:tc>
          <w:tcPr>
            <w:tcW w:type="dxa" w:w="2256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CO- Secretary of Education- Insurance - Fixed</w:t>
            </w:r>
          </w:p>
        </w:tc>
        <w:tc>
          <w:tcPr>
            <w:tcW w:type="dxa" w:w="2256"/>
            <w:shd w:val="clear" w:color="auto" w:fill="70AD47"/>
          </w:tcPr>
          <w:p>
            <w:pPr>
              <w:jc w:val="center"/>
            </w:pPr>
            <w:r>
              <w:rPr>
                <w:rFonts w:ascii="Calibri" w:hAnsi="Calibri"/>
                <w:color w:val="FFFFFF"/>
                <w:sz w:val="18"/>
              </w:rPr>
              <w:t>Facturable</w:t>
            </w:r>
          </w:p>
        </w:tc>
        <w:tc>
          <w:tcPr>
            <w:tcW w:type="dxa" w:w="2256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33</w:t>
            </w:r>
          </w:p>
        </w:tc>
        <w:tc>
          <w:tcPr>
            <w:tcW w:type="dxa" w:w="2256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17.0%</w:t>
            </w:r>
          </w:p>
        </w:tc>
      </w:tr>
      <w:tr>
        <w:tc>
          <w:tcPr>
            <w:tcW w:type="dxa" w:w="2256"/>
            <w:shd w:val="clear" w:color="auto" w:fill="F2F2F2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CO - Superservicios renovacion observatorio de datos- F</w:t>
            </w:r>
          </w:p>
        </w:tc>
        <w:tc>
          <w:tcPr>
            <w:tcW w:type="dxa" w:w="2256"/>
            <w:shd w:val="clear" w:color="auto" w:fill="F2F2F2"/>
            <w:shd w:val="clear" w:color="auto" w:fill="70AD47"/>
          </w:tcPr>
          <w:p>
            <w:pPr>
              <w:jc w:val="center"/>
            </w:pPr>
            <w:r>
              <w:rPr>
                <w:rFonts w:ascii="Calibri" w:hAnsi="Calibri"/>
                <w:color w:val="FFFFFF"/>
                <w:sz w:val="18"/>
              </w:rPr>
              <w:t>Facturable</w:t>
            </w:r>
          </w:p>
        </w:tc>
        <w:tc>
          <w:tcPr>
            <w:tcW w:type="dxa" w:w="2256"/>
            <w:shd w:val="clear" w:color="auto" w:fill="F2F2F2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17</w:t>
            </w:r>
          </w:p>
        </w:tc>
        <w:tc>
          <w:tcPr>
            <w:tcW w:type="dxa" w:w="2256"/>
            <w:shd w:val="clear" w:color="auto" w:fill="F2F2F2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8.8%</w:t>
            </w:r>
          </w:p>
        </w:tc>
      </w:tr>
      <w:tr>
        <w:tc>
          <w:tcPr>
            <w:tcW w:type="dxa" w:w="2256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CO - Ministerio de educacion - Colombia Aprende Portal-</w:t>
            </w:r>
          </w:p>
        </w:tc>
        <w:tc>
          <w:tcPr>
            <w:tcW w:type="dxa" w:w="2256"/>
            <w:shd w:val="clear" w:color="auto" w:fill="70AD47"/>
          </w:tcPr>
          <w:p>
            <w:pPr>
              <w:jc w:val="center"/>
            </w:pPr>
            <w:r>
              <w:rPr>
                <w:rFonts w:ascii="Calibri" w:hAnsi="Calibri"/>
                <w:color w:val="FFFFFF"/>
                <w:sz w:val="18"/>
              </w:rPr>
              <w:t>Facturable</w:t>
            </w:r>
          </w:p>
        </w:tc>
        <w:tc>
          <w:tcPr>
            <w:tcW w:type="dxa" w:w="2256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17</w:t>
            </w:r>
          </w:p>
        </w:tc>
        <w:tc>
          <w:tcPr>
            <w:tcW w:type="dxa" w:w="2256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8.8%</w:t>
            </w:r>
          </w:p>
        </w:tc>
      </w:tr>
      <w:tr>
        <w:tc>
          <w:tcPr>
            <w:tcW w:type="dxa" w:w="2256"/>
            <w:shd w:val="clear" w:color="auto" w:fill="F2F2F2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Time Off &amp; Holiday</w:t>
            </w:r>
          </w:p>
        </w:tc>
        <w:tc>
          <w:tcPr>
            <w:tcW w:type="dxa" w:w="2256"/>
            <w:shd w:val="clear" w:color="auto" w:fill="F2F2F2"/>
            <w:shd w:val="clear" w:color="auto" w:fill="FFD966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Vacaciones/Ausencia</w:t>
            </w:r>
          </w:p>
        </w:tc>
        <w:tc>
          <w:tcPr>
            <w:tcW w:type="dxa" w:w="2256"/>
            <w:shd w:val="clear" w:color="auto" w:fill="F2F2F2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9</w:t>
            </w:r>
          </w:p>
        </w:tc>
        <w:tc>
          <w:tcPr>
            <w:tcW w:type="dxa" w:w="2256"/>
            <w:shd w:val="clear" w:color="auto" w:fill="F2F2F2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4.6%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475462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pm_Miguel_Garcia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4754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/>
        <w:jc w:val="center"/>
      </w:pPr>
      <w:r>
        <w:rPr>
          <w:rFonts w:ascii="Calibri" w:hAnsi="Calibri"/>
          <w:b w:val="0"/>
          <w:i/>
          <w:color w:val="595959"/>
          <w:sz w:val="18"/>
        </w:rPr>
        <w:t>Figura. Distribución de horas por proyecto – Miguel Garcia – Marzo 2026</w:t>
      </w:r>
    </w:p>
    <w:p>
      <w:pPr>
        <w:pBdr>
          <w:bottom w:val="single" w:sz="6" w:space="1" w:color="BDD7EE"/>
        </w:pBdr>
        <w:spacing w:after="120"/>
      </w:pPr>
    </w:p>
    <w:p>
      <w:pPr>
        <w:pStyle w:val="Ttulo2"/>
      </w:pPr>
      <w:r>
        <w:rPr>
          <w:rFonts w:ascii="Calibri" w:hAnsi="Calibri"/>
          <w:b/>
          <w:color w:val="0070C0"/>
          <w:sz w:val="26"/>
        </w:rPr>
        <w:t>3.9. Oscar Barragan</w:t>
      </w:r>
    </w:p>
    <w:tbl>
      <w:tblPr>
        <w:tblStyle w:val="Tablaconcuadrcula"/>
        <w:tblW w:type="auto" w:w="0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c>
          <w:tcPr>
            <w:tcW w:type="dxa" w:w="2304"/>
            <w:shd w:val="clear" w:color="auto" w:fill="00305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Proyectos Activos</w:t>
              <w:br/>
            </w:r>
            <w:r>
              <w:rPr>
                <w:rFonts w:ascii="Calibri" w:hAnsi="Calibri"/>
                <w:b/>
                <w:color w:val="FFFFFF"/>
                <w:sz w:val="28"/>
              </w:rPr>
              <w:t>56</w:t>
            </w:r>
          </w:p>
        </w:tc>
        <w:tc>
          <w:tcPr>
            <w:tcW w:type="dxa" w:w="2304"/>
            <w:shd w:val="clear" w:color="auto" w:fill="0070C0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Horas Marzo</w:t>
              <w:br/>
            </w:r>
            <w:r>
              <w:rPr>
                <w:rFonts w:ascii="Calibri" w:hAnsi="Calibri"/>
                <w:b/>
                <w:color w:val="FFFFFF"/>
                <w:sz w:val="28"/>
              </w:rPr>
              <w:t>194h</w:t>
            </w:r>
          </w:p>
        </w:tc>
        <w:tc>
          <w:tcPr>
            <w:tcW w:type="dxa" w:w="2304"/>
            <w:shd w:val="clear" w:color="auto" w:fill="00305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% Capacidad Marzo</w:t>
              <w:br/>
            </w:r>
            <w:r>
              <w:rPr>
                <w:rFonts w:ascii="Calibri" w:hAnsi="Calibri"/>
                <w:b/>
                <w:color w:val="FFFFFF"/>
                <w:sz w:val="28"/>
              </w:rPr>
              <w:t>100.2%</w:t>
            </w:r>
          </w:p>
        </w:tc>
        <w:tc>
          <w:tcPr>
            <w:tcW w:type="dxa" w:w="2304"/>
            <w:shd w:val="clear" w:color="auto" w:fill="0070C0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Horas Abril</w:t>
              <w:br/>
            </w:r>
            <w:r>
              <w:rPr>
                <w:rFonts w:ascii="Calibri" w:hAnsi="Calibri"/>
                <w:b/>
                <w:color w:val="FFFFFF"/>
                <w:sz w:val="28"/>
              </w:rPr>
              <w:t>70h</w:t>
            </w:r>
          </w:p>
        </w:tc>
      </w:tr>
    </w:tbl>
    <w:p/>
    <w:p>
      <w:pPr>
        <w:spacing w:before="0" w:after="120"/>
        <w:jc w:val="left"/>
      </w:pPr>
      <w:r>
        <w:rPr>
          <w:rFonts w:ascii="Calibri" w:hAnsi="Calibri"/>
          <w:b w:val="0"/>
          <w:i w:val="0"/>
          <w:sz w:val="22"/>
        </w:rPr>
        <w:t>Oscar gestiona la mayor cartera de proyectos activos (56 proyectos). Durante marzo concentró su tiempo en el mantenimiento de SmartCash para BTG Pactual, los proyectos de UNA (Universidad Nacional) y el proyecto CAT de IA generativa.</w:t>
      </w:r>
    </w:p>
    <w:p>
      <w:pPr>
        <w:spacing w:after="120"/>
        <w:ind w:left="283"/>
      </w:pPr>
      <w:r>
        <w:rPr>
          <w:rFonts w:ascii="Calibri" w:hAnsi="Calibri"/>
          <w:b/>
          <w:color w:val="FF6B00"/>
          <w:sz w:val="22"/>
        </w:rPr>
        <w:t xml:space="preserve">⚑ Alerta: </w:t>
      </w:r>
      <w:r>
        <w:rPr>
          <w:rFonts w:ascii="Calibri" w:hAnsi="Calibri"/>
          <w:color w:val="404040"/>
          <w:sz w:val="22"/>
        </w:rPr>
        <w:t>Con 56 proyectos activos, la gestión simultánea representa un riesgo de atención fragmentada. Se recomienda revisar cuáles proyectos son de baja actividad mensual.</w:t>
      </w:r>
    </w:p>
    <w:p>
      <w:pPr>
        <w:pStyle w:val="Ttulo2"/>
      </w:pPr>
      <w:r>
        <w:rPr>
          <w:rFonts w:ascii="Calibri" w:hAnsi="Calibri"/>
          <w:b/>
          <w:color w:val="003059"/>
          <w:sz w:val="22"/>
        </w:rPr>
        <w:t>Principales proyectos – Marzo 2026</w:t>
      </w:r>
    </w:p>
    <w:tbl>
      <w:tblPr>
        <w:tblStyle w:val="Tablaconcuadrcula"/>
        <w:tblW w:type="auto" w:w="0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shd w:val="clear" w:color="auto" w:fill="0070C0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Proyecto</w:t>
            </w:r>
          </w:p>
        </w:tc>
        <w:tc>
          <w:tcPr>
            <w:tcW w:type="dxa" w:w="2256"/>
            <w:shd w:val="clear" w:color="auto" w:fill="0070C0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Categoría</w:t>
            </w:r>
          </w:p>
        </w:tc>
        <w:tc>
          <w:tcPr>
            <w:tcW w:type="dxa" w:w="2256"/>
            <w:shd w:val="clear" w:color="auto" w:fill="0070C0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Horas Marzo</w:t>
            </w:r>
          </w:p>
        </w:tc>
        <w:tc>
          <w:tcPr>
            <w:tcW w:type="dxa" w:w="2256"/>
            <w:shd w:val="clear" w:color="auto" w:fill="0070C0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% del Total</w:t>
            </w:r>
          </w:p>
        </w:tc>
      </w:tr>
      <w:tr>
        <w:tc>
          <w:tcPr>
            <w:tcW w:type="dxa" w:w="2256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UNA - Soporte y Mtto Quipu 2025</w:t>
            </w:r>
          </w:p>
        </w:tc>
        <w:tc>
          <w:tcPr>
            <w:tcW w:type="dxa" w:w="2256"/>
            <w:shd w:val="clear" w:color="auto" w:fill="70AD47"/>
          </w:tcPr>
          <w:p>
            <w:pPr>
              <w:jc w:val="center"/>
            </w:pPr>
            <w:r>
              <w:rPr>
                <w:rFonts w:ascii="Calibri" w:hAnsi="Calibri"/>
                <w:color w:val="FFFFFF"/>
                <w:sz w:val="18"/>
              </w:rPr>
              <w:t>Facturable</w:t>
            </w:r>
          </w:p>
        </w:tc>
        <w:tc>
          <w:tcPr>
            <w:tcW w:type="dxa" w:w="2256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66</w:t>
            </w:r>
          </w:p>
        </w:tc>
        <w:tc>
          <w:tcPr>
            <w:tcW w:type="dxa" w:w="2256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34.0%</w:t>
            </w:r>
          </w:p>
        </w:tc>
      </w:tr>
      <w:tr>
        <w:tc>
          <w:tcPr>
            <w:tcW w:type="dxa" w:w="2256"/>
            <w:shd w:val="clear" w:color="auto" w:fill="F2F2F2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UNA - Contrato 4 - Servicio Computacion -Ret</w:t>
            </w:r>
          </w:p>
        </w:tc>
        <w:tc>
          <w:tcPr>
            <w:tcW w:type="dxa" w:w="2256"/>
            <w:shd w:val="clear" w:color="auto" w:fill="F2F2F2"/>
            <w:shd w:val="clear" w:color="auto" w:fill="70AD47"/>
          </w:tcPr>
          <w:p>
            <w:pPr>
              <w:jc w:val="center"/>
            </w:pPr>
            <w:r>
              <w:rPr>
                <w:rFonts w:ascii="Calibri" w:hAnsi="Calibri"/>
                <w:color w:val="FFFFFF"/>
                <w:sz w:val="18"/>
              </w:rPr>
              <w:t>Facturable</w:t>
            </w:r>
          </w:p>
        </w:tc>
        <w:tc>
          <w:tcPr>
            <w:tcW w:type="dxa" w:w="2256"/>
            <w:shd w:val="clear" w:color="auto" w:fill="F2F2F2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37</w:t>
            </w:r>
          </w:p>
        </w:tc>
        <w:tc>
          <w:tcPr>
            <w:tcW w:type="dxa" w:w="2256"/>
            <w:shd w:val="clear" w:color="auto" w:fill="F2F2F2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19.1%</w:t>
            </w:r>
          </w:p>
        </w:tc>
      </w:tr>
      <w:tr>
        <w:tc>
          <w:tcPr>
            <w:tcW w:type="dxa" w:w="2256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CAT - Agente Cognitivo e Infraestructura AWS - Fixed</w:t>
            </w:r>
          </w:p>
        </w:tc>
        <w:tc>
          <w:tcPr>
            <w:tcW w:type="dxa" w:w="2256"/>
            <w:shd w:val="clear" w:color="auto" w:fill="70AD47"/>
          </w:tcPr>
          <w:p>
            <w:pPr>
              <w:jc w:val="center"/>
            </w:pPr>
            <w:r>
              <w:rPr>
                <w:rFonts w:ascii="Calibri" w:hAnsi="Calibri"/>
                <w:color w:val="FFFFFF"/>
                <w:sz w:val="18"/>
              </w:rPr>
              <w:t>Facturable</w:t>
            </w:r>
          </w:p>
        </w:tc>
        <w:tc>
          <w:tcPr>
            <w:tcW w:type="dxa" w:w="2256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27</w:t>
            </w:r>
          </w:p>
        </w:tc>
        <w:tc>
          <w:tcPr>
            <w:tcW w:type="dxa" w:w="2256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13.9%</w:t>
            </w:r>
          </w:p>
        </w:tc>
      </w:tr>
      <w:tr>
        <w:tc>
          <w:tcPr>
            <w:tcW w:type="dxa" w:w="2256"/>
            <w:shd w:val="clear" w:color="auto" w:fill="F2F2F2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BTG - SmartCash - Operacion - Ret</w:t>
            </w:r>
          </w:p>
        </w:tc>
        <w:tc>
          <w:tcPr>
            <w:tcW w:type="dxa" w:w="2256"/>
            <w:shd w:val="clear" w:color="auto" w:fill="F2F2F2"/>
            <w:shd w:val="clear" w:color="auto" w:fill="70AD47"/>
          </w:tcPr>
          <w:p>
            <w:pPr>
              <w:jc w:val="center"/>
            </w:pPr>
            <w:r>
              <w:rPr>
                <w:rFonts w:ascii="Calibri" w:hAnsi="Calibri"/>
                <w:color w:val="FFFFFF"/>
                <w:sz w:val="18"/>
              </w:rPr>
              <w:t>Facturable</w:t>
            </w:r>
          </w:p>
        </w:tc>
        <w:tc>
          <w:tcPr>
            <w:tcW w:type="dxa" w:w="2256"/>
            <w:shd w:val="clear" w:color="auto" w:fill="F2F2F2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24</w:t>
            </w:r>
          </w:p>
        </w:tc>
        <w:tc>
          <w:tcPr>
            <w:tcW w:type="dxa" w:w="2256"/>
            <w:shd w:val="clear" w:color="auto" w:fill="F2F2F2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12.4%</w:t>
            </w:r>
          </w:p>
        </w:tc>
      </w:tr>
      <w:tr>
        <w:tc>
          <w:tcPr>
            <w:tcW w:type="dxa" w:w="2256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UNA - Facultad derecho concurso meritos - Ret</w:t>
            </w:r>
          </w:p>
        </w:tc>
        <w:tc>
          <w:tcPr>
            <w:tcW w:type="dxa" w:w="2256"/>
            <w:shd w:val="clear" w:color="auto" w:fill="70AD47"/>
          </w:tcPr>
          <w:p>
            <w:pPr>
              <w:jc w:val="center"/>
            </w:pPr>
            <w:r>
              <w:rPr>
                <w:rFonts w:ascii="Calibri" w:hAnsi="Calibri"/>
                <w:color w:val="FFFFFF"/>
                <w:sz w:val="18"/>
              </w:rPr>
              <w:t>Facturable</w:t>
            </w:r>
          </w:p>
        </w:tc>
        <w:tc>
          <w:tcPr>
            <w:tcW w:type="dxa" w:w="2256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16</w:t>
            </w:r>
          </w:p>
        </w:tc>
        <w:tc>
          <w:tcPr>
            <w:tcW w:type="dxa" w:w="2256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8.2%</w:t>
            </w:r>
          </w:p>
        </w:tc>
      </w:tr>
      <w:tr>
        <w:tc>
          <w:tcPr>
            <w:tcW w:type="dxa" w:w="2256"/>
            <w:shd w:val="clear" w:color="auto" w:fill="F2F2F2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PRO - SmartCash Operación - Ret</w:t>
            </w:r>
          </w:p>
        </w:tc>
        <w:tc>
          <w:tcPr>
            <w:tcW w:type="dxa" w:w="2256"/>
            <w:shd w:val="clear" w:color="auto" w:fill="F2F2F2"/>
            <w:shd w:val="clear" w:color="auto" w:fill="70AD47"/>
          </w:tcPr>
          <w:p>
            <w:pPr>
              <w:jc w:val="center"/>
            </w:pPr>
            <w:r>
              <w:rPr>
                <w:rFonts w:ascii="Calibri" w:hAnsi="Calibri"/>
                <w:color w:val="FFFFFF"/>
                <w:sz w:val="18"/>
              </w:rPr>
              <w:t>Facturable</w:t>
            </w:r>
          </w:p>
        </w:tc>
        <w:tc>
          <w:tcPr>
            <w:tcW w:type="dxa" w:w="2256"/>
            <w:shd w:val="clear" w:color="auto" w:fill="F2F2F2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14</w:t>
            </w:r>
          </w:p>
        </w:tc>
        <w:tc>
          <w:tcPr>
            <w:tcW w:type="dxa" w:w="2256"/>
            <w:shd w:val="clear" w:color="auto" w:fill="F2F2F2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7.2%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477873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pm_Oscar_Barragan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4778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/>
        <w:jc w:val="center"/>
      </w:pPr>
      <w:r>
        <w:rPr>
          <w:rFonts w:ascii="Calibri" w:hAnsi="Calibri"/>
          <w:b w:val="0"/>
          <w:i/>
          <w:color w:val="595959"/>
          <w:sz w:val="18"/>
        </w:rPr>
        <w:t>Figura. Distribución de horas por proyecto – Oscar Barragan – Marzo 2026</w:t>
      </w:r>
    </w:p>
    <w:p>
      <w:pPr>
        <w:pBdr>
          <w:bottom w:val="single" w:sz="6" w:space="1" w:color="BDD7EE"/>
        </w:pBdr>
        <w:spacing w:after="120"/>
      </w:pPr>
    </w:p>
    <w:p>
      <w:r>
        <w:br w:type="page"/>
      </w:r>
    </w:p>
    <w:p>
      <w:pPr>
        <w:pStyle w:val="Ttulo1"/>
      </w:pPr>
      <w:r>
        <w:rPr>
          <w:rFonts w:ascii="Calibri" w:hAnsi="Calibri"/>
          <w:b/>
          <w:color w:val="003059"/>
          <w:sz w:val="32"/>
        </w:rPr>
        <w:t>4. Comparativa General del Equipo</w:t>
      </w:r>
    </w:p>
    <w:p>
      <w:pPr>
        <w:pBdr>
          <w:bottom w:val="single" w:sz="6" w:space="1" w:color="003059"/>
        </w:pBdr>
        <w:spacing w:after="120"/>
      </w:pPr>
    </w:p>
    <w:p>
      <w:pPr>
        <w:spacing w:before="0" w:after="160"/>
        <w:jc w:val="left"/>
      </w:pPr>
      <w:r>
        <w:rPr>
          <w:rFonts w:ascii="Calibri" w:hAnsi="Calibri"/>
          <w:b w:val="0"/>
          <w:i w:val="0"/>
          <w:sz w:val="22"/>
        </w:rPr>
        <w:t>La siguiente gráfica muestra la evolución semanal de horas registradas por cada PM durante el período analizado, evidenciando la consistencia en la carga de trabajo semana a semana.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950041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evolucion_semanal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500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/>
        <w:jc w:val="center"/>
      </w:pPr>
      <w:r>
        <w:rPr>
          <w:rFonts w:ascii="Calibri" w:hAnsi="Calibri"/>
          <w:b w:val="0"/>
          <w:i/>
          <w:color w:val="595959"/>
          <w:sz w:val="18"/>
        </w:rPr>
        <w:t>Figura 3. Evolución semanal de horas por PM – Marzo y Abril 2026. La línea naranja indica el límite de 44 horas semanales.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637835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proyectos_activos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6378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/>
        <w:jc w:val="center"/>
      </w:pPr>
      <w:r>
        <w:rPr>
          <w:rFonts w:ascii="Calibri" w:hAnsi="Calibri"/>
          <w:b w:val="0"/>
          <w:i/>
          <w:color w:val="595959"/>
          <w:sz w:val="18"/>
        </w:rPr>
        <w:t>Figura 4. Número de proyectos activos asignados por PM (fuente: Maestro de Proyectos).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501449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distribucion_categoria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014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/>
        <w:jc w:val="center"/>
      </w:pPr>
      <w:r>
        <w:rPr>
          <w:rFonts w:ascii="Calibri" w:hAnsi="Calibri"/>
          <w:b w:val="0"/>
          <w:i/>
          <w:color w:val="595959"/>
          <w:sz w:val="18"/>
        </w:rPr>
        <w:t>Figura 5. Distribución de horas por categoría (facturable, interno/administrativo, vacaciones/ausencia) por PM – Marzo 2026.</w:t>
      </w:r>
    </w:p>
    <w:p>
      <w:r>
        <w:br w:type="page"/>
      </w:r>
    </w:p>
    <w:p>
      <w:pPr>
        <w:pStyle w:val="Ttulo1"/>
      </w:pPr>
      <w:r>
        <w:rPr>
          <w:rFonts w:ascii="Calibri" w:hAnsi="Calibri"/>
          <w:b/>
          <w:color w:val="003059"/>
          <w:sz w:val="32"/>
        </w:rPr>
        <w:t>5. Conclusiones y Alertas</w:t>
      </w:r>
    </w:p>
    <w:p>
      <w:pPr>
        <w:pBdr>
          <w:bottom w:val="single" w:sz="6" w:space="1" w:color="003059"/>
        </w:pBdr>
        <w:spacing w:after="120"/>
      </w:pPr>
    </w:p>
    <w:p>
      <w:pPr>
        <w:spacing w:before="0" w:after="160"/>
        <w:jc w:val="left"/>
      </w:pPr>
      <w:r>
        <w:rPr>
          <w:rFonts w:ascii="Calibri" w:hAnsi="Calibri"/>
          <w:b w:val="0"/>
          <w:i w:val="0"/>
          <w:sz w:val="22"/>
        </w:rPr>
        <w:t>A partir del análisis de los datos de OpenAir para marzo y abril de 2026, se identifican los siguientes hallazgos clave:</w:t>
      </w:r>
    </w:p>
    <w:p>
      <w:pPr>
        <w:spacing w:after="160"/>
        <w:ind w:left="283"/>
      </w:pPr>
      <w:r>
        <w:rPr>
          <w:rFonts w:ascii="Calibri" w:hAnsi="Calibri"/>
          <w:b/>
          <w:color w:val="003059"/>
          <w:sz w:val="22"/>
        </w:rPr>
        <w:t xml:space="preserve">• Equipo operando a plena capacidad: </w:t>
      </w:r>
      <w:r>
        <w:rPr>
          <w:rFonts w:ascii="Calibri" w:hAnsi="Calibri"/>
          <w:sz w:val="22"/>
        </w:rPr>
        <w:t>El 100% de los PMs analizados registraron horas cercanas o superiores a la capacidad estándar de 44h/semana durante marzo. Esto indica que el equipo no tiene margen de absorción para nuevos proyectos sin redistribución previa.</w:t>
      </w:r>
    </w:p>
    <w:p>
      <w:pPr>
        <w:spacing w:after="160"/>
        <w:ind w:left="283"/>
      </w:pPr>
      <w:r>
        <w:rPr>
          <w:rFonts w:ascii="Calibri" w:hAnsi="Calibri"/>
          <w:b/>
          <w:color w:val="003059"/>
          <w:sz w:val="22"/>
        </w:rPr>
        <w:t xml:space="preserve">• PMs con sobrecarga identificada: </w:t>
      </w:r>
      <w:r>
        <w:rPr>
          <w:rFonts w:ascii="Calibri" w:hAnsi="Calibri"/>
          <w:sz w:val="22"/>
        </w:rPr>
        <w:t>David Cortes (102.3%) e Indira Duarte (104.6%) superaron la capacidad en marzo. Indira concentra el 88.2% de su tiempo en un único proyecto (ADRES AI Medical Audit), lo cual representa un riesgo operativo.</w:t>
      </w:r>
    </w:p>
    <w:p>
      <w:pPr>
        <w:spacing w:after="160"/>
        <w:ind w:left="283"/>
      </w:pPr>
      <w:r>
        <w:rPr>
          <w:rFonts w:ascii="Calibri" w:hAnsi="Calibri"/>
          <w:b/>
          <w:color w:val="003059"/>
          <w:sz w:val="22"/>
        </w:rPr>
        <w:t xml:space="preserve">• Exceso de proyectos – Oscar Barragan: </w:t>
      </w:r>
      <w:r>
        <w:rPr>
          <w:rFonts w:ascii="Calibri" w:hAnsi="Calibri"/>
          <w:sz w:val="22"/>
        </w:rPr>
        <w:t>Con 56 proyectos activos asignados, Oscar Barragan tiene la cartera más extensa del equipo. Se recomienda realizar una revisión de proyectos en estado inactivo o de baja actividad que deben ser actualizados o cerrados en el maestro.</w:t>
      </w:r>
    </w:p>
    <w:p>
      <w:pPr>
        <w:spacing w:after="160"/>
        <w:ind w:left="283"/>
      </w:pPr>
      <w:r>
        <w:rPr>
          <w:rFonts w:ascii="Calibri" w:hAnsi="Calibri"/>
          <w:b/>
          <w:color w:val="003059"/>
          <w:sz w:val="22"/>
        </w:rPr>
        <w:t xml:space="preserve">• Patrón atípico – Diana Castro: </w:t>
      </w:r>
      <w:r>
        <w:rPr>
          <w:rFonts w:ascii="Calibri" w:hAnsi="Calibri"/>
          <w:sz w:val="22"/>
        </w:rPr>
        <w:t>El 74.7% del tiempo registrado de Diana Castro en marzo corresponde a reuniones internas y capacitación. Se requiere validar si este patrón refleja su rol actual o si hay un problema de registro de horas.</w:t>
      </w:r>
    </w:p>
    <w:p>
      <w:pPr>
        <w:spacing w:after="160"/>
        <w:ind w:left="283"/>
      </w:pPr>
      <w:r>
        <w:rPr>
          <w:rFonts w:ascii="Calibri" w:hAnsi="Calibri"/>
          <w:b/>
          <w:color w:val="003059"/>
          <w:sz w:val="22"/>
        </w:rPr>
        <w:t xml:space="preserve">• Proyectos con códigos INACTIVO activos: </w:t>
      </w:r>
      <w:r>
        <w:rPr>
          <w:rFonts w:ascii="Calibri" w:hAnsi="Calibri"/>
          <w:sz w:val="22"/>
        </w:rPr>
        <w:t>Daniel Sebastian Vargas registra horas contra proyectos marcados como "INACTIVO" en OpenAir, lo que indica inconsistencias en la gestión de proyectos en la plataforma.</w:t>
      </w:r>
    </w:p>
    <w:p>
      <w:pPr>
        <w:spacing w:after="160"/>
        <w:ind w:left="283"/>
      </w:pPr>
      <w:r>
        <w:rPr>
          <w:rFonts w:ascii="Calibri" w:hAnsi="Calibri"/>
          <w:b/>
          <w:color w:val="003059"/>
          <w:sz w:val="22"/>
        </w:rPr>
        <w:t xml:space="preserve">• Abril con datos parciales: </w:t>
      </w:r>
      <w:r>
        <w:rPr>
          <w:rFonts w:ascii="Calibri" w:hAnsi="Calibri"/>
          <w:sz w:val="22"/>
        </w:rPr>
        <w:t>Los datos de abril reflejan entre 1.6 y 2.6 semanas de registro por PM, lo que sugiere que no todos han completado el reporte de horas. Se recomienda verificar el cierre de timesheets.</w:t>
      </w:r>
    </w:p>
    <w:p>
      <w:r>
        <w:br w:type="page"/>
      </w:r>
    </w:p>
    <w:p>
      <w:pPr>
        <w:pStyle w:val="Ttulo1"/>
      </w:pPr>
      <w:r>
        <w:rPr>
          <w:rFonts w:ascii="Calibri" w:hAnsi="Calibri"/>
          <w:b/>
          <w:color w:val="003059"/>
          <w:sz w:val="32"/>
        </w:rPr>
        <w:t>6. Fuentes y Metodología</w:t>
      </w:r>
    </w:p>
    <w:p>
      <w:pPr>
        <w:pBdr>
          <w:bottom w:val="single" w:sz="6" w:space="1" w:color="003059"/>
        </w:pBdr>
        <w:spacing w:after="120"/>
      </w:pPr>
    </w:p>
    <w:p>
      <w:pPr>
        <w:pStyle w:val="Prrafodelista"/>
        <w:spacing w:after="60"/>
        <w:ind w:left="567"/>
      </w:pPr>
      <w:r>
        <w:rPr>
          <w:rFonts w:ascii="Calibri" w:hAnsi="Calibri"/>
          <w:sz w:val="22"/>
        </w:rPr>
        <w:t>• Archivo de horas: OpenAir Export – Horas Marzo Abril 2026 (42,542 registros)</w:t>
      </w:r>
    </w:p>
    <w:p>
      <w:pPr>
        <w:pStyle w:val="Prrafodelista"/>
        <w:spacing w:after="60"/>
        <w:ind w:left="567"/>
      </w:pPr>
      <w:r>
        <w:rPr>
          <w:rFonts w:ascii="Calibri" w:hAnsi="Calibri"/>
          <w:sz w:val="22"/>
        </w:rPr>
        <w:t>• Maestro de proyectos: maestro.proyectos.xlsx – Hoja "project" (173 proyectos activos)</w:t>
      </w:r>
    </w:p>
    <w:p>
      <w:pPr>
        <w:pStyle w:val="Prrafodelista"/>
        <w:spacing w:after="60"/>
        <w:ind w:left="567"/>
      </w:pPr>
      <w:r>
        <w:rPr>
          <w:rFonts w:ascii="Calibri" w:hAnsi="Calibri"/>
          <w:sz w:val="22"/>
        </w:rPr>
        <w:t>• Capacidad estándar utilizada: 44 horas/semana por PM</w:t>
      </w:r>
    </w:p>
    <w:p>
      <w:pPr>
        <w:pStyle w:val="Prrafodelista"/>
        <w:spacing w:after="60"/>
        <w:ind w:left="567"/>
      </w:pPr>
      <w:r>
        <w:rPr>
          <w:rFonts w:ascii="Calibri" w:hAnsi="Calibri"/>
          <w:sz w:val="22"/>
        </w:rPr>
        <w:t>• Cálculo de capacidad mensual: número de semanas × 44 horas</w:t>
      </w:r>
    </w:p>
    <w:p>
      <w:pPr>
        <w:pStyle w:val="Prrafodelista"/>
        <w:spacing w:after="60"/>
        <w:ind w:left="567"/>
      </w:pPr>
      <w:r>
        <w:rPr>
          <w:rFonts w:ascii="Calibri" w:hAnsi="Calibri"/>
          <w:sz w:val="22"/>
        </w:rPr>
        <w:t>• Proyectos identificados como colombianos: prefijo "CO -" o cliente colombiano</w:t>
      </w:r>
    </w:p>
    <w:p>
      <w:pPr>
        <w:pStyle w:val="Prrafodelista"/>
        <w:spacing w:after="60"/>
        <w:ind w:left="567"/>
      </w:pPr>
      <w:r>
        <w:rPr>
          <w:rFonts w:ascii="Calibri" w:hAnsi="Calibri"/>
          <w:sz w:val="22"/>
        </w:rPr>
        <w:t>• Categorías de horas: Facturable / Interno-Administrativo / Vacaciones-Ausencia</w:t>
      </w:r>
    </w:p>
    <w:p>
      <w:pPr>
        <w:pStyle w:val="Prrafodelista"/>
        <w:spacing w:after="60"/>
        <w:ind w:left="567"/>
      </w:pPr>
      <w:r>
        <w:rPr>
          <w:rFonts w:ascii="Calibri" w:hAnsi="Calibri"/>
          <w:sz w:val="22"/>
        </w:rPr>
        <w:t>• Herramientas utilizadas: Python (openpyxl, matplotlib, python-docx)</w:t>
      </w:r>
    </w:p>
    <w:sectPr w:rsidR="00275B7B" w:rsidRPr="00C12884" w:rsidSect="007C4B1C">
      <w:headerReference w:type="default" r:id="rId11"/>
      <w:footerReference w:type="default" r:id="rId12"/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1810C4" w14:textId="77777777" w:rsidR="00F553CB" w:rsidRDefault="00F553CB" w:rsidP="007C4B1C">
      <w:r>
        <w:separator/>
      </w:r>
    </w:p>
  </w:endnote>
  <w:endnote w:type="continuationSeparator" w:id="0">
    <w:p w14:paraId="0C98DED0" w14:textId="77777777" w:rsidR="00F553CB" w:rsidRDefault="00F553CB" w:rsidP="007C4B1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ontserrat">
    <w:altName w:val="Cambria"/>
    <w:charset w:val="00"/>
    <w:family w:val="auto"/>
    <w:pitch w:val="variable"/>
    <w:sig w:usb0="2000020F" w:usb1="00000003" w:usb2="00000000" w:usb3="00000000" w:csb0="00000197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Montserrat Black">
    <w:charset w:val="00"/>
    <w:family w:val="auto"/>
    <w:pitch w:val="variable"/>
    <w:sig w:usb0="2000020F" w:usb1="00000003" w:usb2="00000000" w:usb3="00000000" w:csb0="00000197" w:csb1="00000000"/>
  </w:font>
  <w:font w:name="PMingLiU"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MingLiU">
    <w:panose1 w:val="02010609000101010101"/>
    <w:charset w:val="88"/>
    <w:family w:val="modern"/>
    <w:pitch w:val="fixed"/>
    <w:sig w:usb0="A00002FF" w:usb1="28CFFCFA" w:usb2="00000016" w:usb3="00000000" w:csb0="00100001" w:csb1="00000000"/>
  </w:font>
  <w:font w:name="Poppins ExtraBold">
    <w:charset w:val="00"/>
    <w:family w:val="auto"/>
    <w:pitch w:val="variable"/>
    <w:sig w:usb0="00008007" w:usb1="00000000" w:usb2="00000000" w:usb3="00000000" w:csb0="00000093" w:csb1="00000000"/>
  </w:font>
  <w:font w:name="Roboto Black">
    <w:charset w:val="00"/>
    <w:family w:val="auto"/>
    <w:pitch w:val="variable"/>
    <w:sig w:usb0="E0000AFF" w:usb1="5000217F" w:usb2="0000002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D2E9EE" w14:textId="41882775" w:rsidR="007C4B1C" w:rsidRPr="007C4B1C" w:rsidRDefault="36885F8C" w:rsidP="007C4B1C">
    <w:pPr>
      <w:pStyle w:val="Piedepgina"/>
      <w:tabs>
        <w:tab w:val="clear" w:pos="4680"/>
        <w:tab w:val="clear" w:pos="9360"/>
        <w:tab w:val="right" w:pos="7920"/>
      </w:tabs>
      <w:ind w:left="90" w:right="360" w:hanging="450"/>
      <w:jc w:val="right"/>
      <w:rPr>
        <w:rFonts w:cs="Montserrat"/>
        <w:color w:val="808080" w:themeColor="text1" w:themeShade="80"/>
        <w:sz w:val="13"/>
        <w:szCs w:val="13"/>
      </w:rPr>
    </w:pPr>
    <w:bookmarkStart w:id="1" w:name="_Int_7ZhjQ9Lj"/>
    <w:r w:rsidRPr="00B53491">
      <w:rPr>
        <w:rFonts w:cs="Montserrat"/>
        <w:color w:val="808080" w:themeColor="text1" w:themeShade="80"/>
        <w:sz w:val="13"/>
        <w:szCs w:val="13"/>
        <w:lang w:val="en-US"/>
      </w:rPr>
      <w:t>© Copyright of</w:t>
    </w:r>
    <w:bookmarkEnd w:id="1"/>
    <w:r w:rsidRPr="00B53491">
      <w:rPr>
        <w:rFonts w:cs="Montserrat"/>
        <w:color w:val="808080" w:themeColor="text1" w:themeShade="80"/>
        <w:sz w:val="13"/>
        <w:szCs w:val="13"/>
        <w:lang w:val="en-US"/>
      </w:rPr>
      <w:t xml:space="preserve"> Blend360 2023. All rights reserved.</w:t>
    </w:r>
    <w:r w:rsidR="007C4B1C" w:rsidRPr="0013604F">
      <w:rPr>
        <w:rFonts w:cs="Montserrat"/>
        <w:color w:val="808080" w:themeColor="text1" w:themeShade="80"/>
        <w:sz w:val="13"/>
        <w:szCs w:val="13"/>
      </w:rPr>
      <w:ptab w:relativeTo="margin" w:alignment="center" w:leader="none"/>
    </w:r>
    <w:r w:rsidRPr="00B53491">
      <w:rPr>
        <w:rFonts w:cs="Montserrat"/>
        <w:color w:val="808080" w:themeColor="text1" w:themeShade="80"/>
        <w:sz w:val="13"/>
        <w:szCs w:val="13"/>
        <w:lang w:val="en-US"/>
      </w:rPr>
      <w:t xml:space="preserve">   </w:t>
    </w:r>
    <w:r w:rsidR="007C4B1C" w:rsidRPr="0013604F">
      <w:rPr>
        <w:rFonts w:cs="Montserrat"/>
        <w:color w:val="808080" w:themeColor="text1" w:themeShade="80"/>
        <w:sz w:val="13"/>
        <w:szCs w:val="13"/>
      </w:rPr>
      <w:ptab w:relativeTo="margin" w:alignment="right" w:leader="none"/>
    </w:r>
    <w:r w:rsidRPr="00B53491">
      <w:rPr>
        <w:rFonts w:cs="Montserrat"/>
        <w:color w:val="808080" w:themeColor="text1" w:themeShade="80"/>
        <w:sz w:val="13"/>
        <w:szCs w:val="13"/>
        <w:lang w:val="en-US"/>
      </w:rPr>
      <w:t xml:space="preserve">  </w:t>
    </w:r>
    <w:r w:rsidRPr="0013604F">
      <w:rPr>
        <w:rFonts w:cs="Montserrat"/>
        <w:color w:val="808080" w:themeColor="text1" w:themeShade="80"/>
        <w:sz w:val="13"/>
        <w:szCs w:val="13"/>
      </w:rPr>
      <w:t>www.blend360.com |       Blend360 |       @OfficialB36</w:t>
    </w:r>
    <w:r>
      <w:rPr>
        <w:rFonts w:cs="Montserrat"/>
        <w:color w:val="808080" w:themeColor="text1" w:themeShade="80"/>
        <w:sz w:val="13"/>
        <w:szCs w:val="13"/>
      </w:rPr>
      <w:t>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6A8339" w14:textId="77777777" w:rsidR="00F553CB" w:rsidRDefault="00F553CB" w:rsidP="007C4B1C">
      <w:r>
        <w:separator/>
      </w:r>
    </w:p>
  </w:footnote>
  <w:footnote w:type="continuationSeparator" w:id="0">
    <w:p w14:paraId="11444B6D" w14:textId="77777777" w:rsidR="00F553CB" w:rsidRDefault="00F553CB" w:rsidP="007C4B1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1300FB" w14:textId="77777777" w:rsidR="007C4B1C" w:rsidRDefault="007C4B1C" w:rsidP="007C4B1C">
    <w:pPr>
      <w:pStyle w:val="Encabezado"/>
      <w:tabs>
        <w:tab w:val="clear" w:pos="4680"/>
        <w:tab w:val="clear" w:pos="9360"/>
        <w:tab w:val="left" w:pos="1998"/>
      </w:tabs>
    </w:pPr>
    <w:r>
      <w:rPr>
        <w:noProof/>
      </w:rPr>
      <w:drawing>
        <wp:anchor distT="0" distB="0" distL="114300" distR="114300" simplePos="0" relativeHeight="251658240" behindDoc="0" locked="0" layoutInCell="1" allowOverlap="1" wp14:anchorId="2FD11F00" wp14:editId="049F08C3">
          <wp:simplePos x="0" y="0"/>
          <wp:positionH relativeFrom="column">
            <wp:posOffset>0</wp:posOffset>
          </wp:positionH>
          <wp:positionV relativeFrom="paragraph">
            <wp:posOffset>0</wp:posOffset>
          </wp:positionV>
          <wp:extent cx="1270000" cy="241935"/>
          <wp:effectExtent l="0" t="0" r="0" b="0"/>
          <wp:wrapNone/>
          <wp:docPr id="647036729" name="Picture 647036729" descr="A blue and black 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63558834" name="Picture 3" descr="A blue and black logo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70000" cy="24193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6D197778" w14:textId="77777777" w:rsidR="007C4B1C" w:rsidRDefault="007C4B1C">
    <w:pPr>
      <w:pStyle w:val="Encabezado"/>
    </w:pPr>
    <w:r>
      <w:rPr>
        <w:noProof/>
      </w:rPr>
      <w:drawing>
        <wp:anchor distT="0" distB="0" distL="114300" distR="114300" simplePos="0" relativeHeight="251658241" behindDoc="1" locked="0" layoutInCell="1" allowOverlap="1" wp14:anchorId="641FD86F" wp14:editId="34BF11FC">
          <wp:simplePos x="0" y="0"/>
          <wp:positionH relativeFrom="column">
            <wp:posOffset>1817370</wp:posOffset>
          </wp:positionH>
          <wp:positionV relativeFrom="paragraph">
            <wp:posOffset>1327150</wp:posOffset>
          </wp:positionV>
          <wp:extent cx="12051665" cy="6775450"/>
          <wp:effectExtent l="0" t="0" r="0" b="0"/>
          <wp:wrapNone/>
          <wp:docPr id="59304064" name="Picture 59304064" descr="A blue circles on a black background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87025932" name="Picture 4" descr="A blue circles on a black background&#10;&#10;Description automatically generated"/>
                  <pic:cNvPicPr/>
                </pic:nvPicPr>
                <pic:blipFill>
                  <a:blip r:embed="rId2">
                    <a:alphaModFix amt="2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 rot="10800000">
                    <a:off x="0" y="0"/>
                    <a:ext cx="12051665" cy="67754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rbgzrDjz7QSyiy" int2:id="044pl1HD">
      <int2:state int2:value="Rejected" int2:type="spell"/>
    </int2:textHash>
    <int2:textHash int2:hashCode="ColNt8eS4Qp544" int2:id="1U0YVbA0">
      <int2:state int2:value="Rejected" int2:type="spell"/>
    </int2:textHash>
    <int2:textHash int2:hashCode="Z0X6r62fBYPGJu" int2:id="21gPDc7a">
      <int2:state int2:value="Rejected" int2:type="AugLoop_Text_Critique"/>
    </int2:textHash>
    <int2:textHash int2:hashCode="tLs5z+UXpwmqIW" int2:id="2EgFqz9G">
      <int2:state int2:value="Rejected" int2:type="AugLoop_Text_Critique"/>
    </int2:textHash>
    <int2:textHash int2:hashCode="zJ+T0iXpZSq8nY" int2:id="3q4mHOz8">
      <int2:state int2:value="Rejected" int2:type="AugLoop_Text_Critique"/>
    </int2:textHash>
    <int2:textHash int2:hashCode="BvgKTTEubVGA3C" int2:id="482SoWEs">
      <int2:state int2:value="Rejected" int2:type="AugLoop_Text_Critique"/>
    </int2:textHash>
    <int2:textHash int2:hashCode="AA55PbcMWTCfpv" int2:id="FZs4sJsc">
      <int2:state int2:value="Rejected" int2:type="AugLoop_Text_Critique"/>
    </int2:textHash>
    <int2:textHash int2:hashCode="iKxElUECpMPF1C" int2:id="PaphJT1n">
      <int2:state int2:value="Rejected" int2:type="AugLoop_Text_Critique"/>
    </int2:textHash>
    <int2:textHash int2:hashCode="jXBQ/896LuKc12" int2:id="TSLoaul5">
      <int2:state int2:value="Rejected" int2:type="spell"/>
    </int2:textHash>
    <int2:textHash int2:hashCode="tKonPIJC4H8j6o" int2:id="d32WzG0L">
      <int2:state int2:value="Rejected" int2:type="spell"/>
    </int2:textHash>
    <int2:textHash int2:hashCode="xpwq9HvkdzVE8J" int2:id="joA1xYpG">
      <int2:state int2:value="Rejected" int2:type="AugLoop_Text_Critique"/>
    </int2:textHash>
    <int2:textHash int2:hashCode="BhrHQAR/JN2fl8" int2:id="pxVBcaXt">
      <int2:state int2:value="Rejected" int2:type="AugLoop_Text_Critique"/>
    </int2:textHash>
    <int2:textHash int2:hashCode="/BZuuBNh/zEXnN" int2:id="wQZOc1a0">
      <int2:state int2:value="Rejected" int2:type="spell"/>
    </int2:textHash>
    <int2:bookmark int2:bookmarkName="_Int_7ZhjQ9Lj" int2:invalidationBookmarkName="" int2:hashCode="8FXpfXkeervM6g" int2:id="SaUHGt0t">
      <int2:state int2:value="Rejected" int2:type="AugLoop_Text_Critique"/>
    </int2:bookmark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1575C"/>
    <w:multiLevelType w:val="multilevel"/>
    <w:tmpl w:val="9140A9B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360"/>
      </w:pPr>
    </w:lvl>
    <w:lvl w:ilvl="2">
      <w:start w:val="1"/>
      <w:numFmt w:val="decimal"/>
      <w:lvlText w:val="%1.%2.%3."/>
      <w:lvlJc w:val="lef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decimal"/>
      <w:lvlText w:val="%1.%2.%3.%4.%5."/>
      <w:lvlJc w:val="left"/>
      <w:pPr>
        <w:ind w:left="3600" w:hanging="360"/>
      </w:pPr>
    </w:lvl>
    <w:lvl w:ilvl="5">
      <w:start w:val="1"/>
      <w:numFmt w:val="decimal"/>
      <w:lvlText w:val="%1.%2.%3.%4.%5.%6."/>
      <w:lvlJc w:val="lef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decimal"/>
      <w:lvlText w:val="%1.%2.%3.%4.%5.%6.%7.%8."/>
      <w:lvlJc w:val="left"/>
      <w:pPr>
        <w:ind w:left="5760" w:hanging="360"/>
      </w:pPr>
    </w:lvl>
    <w:lvl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w:abstractNumId="1" w15:restartNumberingAfterBreak="0">
    <w:nsid w:val="01526858"/>
    <w:multiLevelType w:val="hybridMultilevel"/>
    <w:tmpl w:val="74D6A1E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FB50CE"/>
    <w:multiLevelType w:val="hybridMultilevel"/>
    <w:tmpl w:val="7FC08D62"/>
    <w:lvl w:ilvl="0" w:tplc="59BCFCAE">
      <w:start w:val="1"/>
      <w:numFmt w:val="decimal"/>
      <w:lvlText w:val="%1."/>
      <w:lvlJc w:val="left"/>
      <w:pPr>
        <w:ind w:left="720" w:hanging="360"/>
      </w:pPr>
    </w:lvl>
    <w:lvl w:ilvl="1" w:tplc="268884E8">
      <w:start w:val="1"/>
      <w:numFmt w:val="lowerLetter"/>
      <w:lvlText w:val="%2."/>
      <w:lvlJc w:val="left"/>
      <w:pPr>
        <w:ind w:left="1440" w:hanging="360"/>
      </w:pPr>
    </w:lvl>
    <w:lvl w:ilvl="2" w:tplc="2E6093DE">
      <w:start w:val="1"/>
      <w:numFmt w:val="lowerRoman"/>
      <w:lvlText w:val="%3."/>
      <w:lvlJc w:val="right"/>
      <w:pPr>
        <w:ind w:left="2160" w:hanging="180"/>
      </w:pPr>
    </w:lvl>
    <w:lvl w:ilvl="3" w:tplc="5974544C">
      <w:start w:val="1"/>
      <w:numFmt w:val="decimal"/>
      <w:lvlText w:val="%4."/>
      <w:lvlJc w:val="left"/>
      <w:pPr>
        <w:ind w:left="2880" w:hanging="360"/>
      </w:pPr>
    </w:lvl>
    <w:lvl w:ilvl="4" w:tplc="41B6752E">
      <w:start w:val="1"/>
      <w:numFmt w:val="lowerLetter"/>
      <w:lvlText w:val="%5."/>
      <w:lvlJc w:val="left"/>
      <w:pPr>
        <w:ind w:left="3600" w:hanging="360"/>
      </w:pPr>
    </w:lvl>
    <w:lvl w:ilvl="5" w:tplc="D7DA61AA">
      <w:start w:val="1"/>
      <w:numFmt w:val="lowerRoman"/>
      <w:lvlText w:val="%6."/>
      <w:lvlJc w:val="right"/>
      <w:pPr>
        <w:ind w:left="4320" w:hanging="180"/>
      </w:pPr>
    </w:lvl>
    <w:lvl w:ilvl="6" w:tplc="0E1EF72A">
      <w:start w:val="1"/>
      <w:numFmt w:val="decimal"/>
      <w:lvlText w:val="%7."/>
      <w:lvlJc w:val="left"/>
      <w:pPr>
        <w:ind w:left="5040" w:hanging="360"/>
      </w:pPr>
    </w:lvl>
    <w:lvl w:ilvl="7" w:tplc="8D768670">
      <w:start w:val="1"/>
      <w:numFmt w:val="lowerLetter"/>
      <w:lvlText w:val="%8."/>
      <w:lvlJc w:val="left"/>
      <w:pPr>
        <w:ind w:left="5760" w:hanging="360"/>
      </w:pPr>
    </w:lvl>
    <w:lvl w:ilvl="8" w:tplc="1C762B2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B0EEADA"/>
    <w:multiLevelType w:val="hybridMultilevel"/>
    <w:tmpl w:val="0B5AFADE"/>
    <w:lvl w:ilvl="0" w:tplc="D5ACD460">
      <w:start w:val="1"/>
      <w:numFmt w:val="decimal"/>
      <w:lvlText w:val="%1."/>
      <w:lvlJc w:val="left"/>
      <w:pPr>
        <w:ind w:left="720" w:hanging="360"/>
      </w:pPr>
    </w:lvl>
    <w:lvl w:ilvl="1" w:tplc="EB5A6582">
      <w:start w:val="1"/>
      <w:numFmt w:val="lowerLetter"/>
      <w:lvlText w:val="%2."/>
      <w:lvlJc w:val="left"/>
      <w:pPr>
        <w:ind w:left="1440" w:hanging="360"/>
      </w:pPr>
    </w:lvl>
    <w:lvl w:ilvl="2" w:tplc="B278206A">
      <w:start w:val="1"/>
      <w:numFmt w:val="lowerRoman"/>
      <w:lvlText w:val="%3."/>
      <w:lvlJc w:val="right"/>
      <w:pPr>
        <w:ind w:left="2160" w:hanging="180"/>
      </w:pPr>
    </w:lvl>
    <w:lvl w:ilvl="3" w:tplc="F684A808">
      <w:start w:val="1"/>
      <w:numFmt w:val="decimal"/>
      <w:lvlText w:val="%4."/>
      <w:lvlJc w:val="left"/>
      <w:pPr>
        <w:ind w:left="2880" w:hanging="360"/>
      </w:pPr>
    </w:lvl>
    <w:lvl w:ilvl="4" w:tplc="B380C6B4">
      <w:start w:val="1"/>
      <w:numFmt w:val="lowerLetter"/>
      <w:lvlText w:val="%5."/>
      <w:lvlJc w:val="left"/>
      <w:pPr>
        <w:ind w:left="3600" w:hanging="360"/>
      </w:pPr>
    </w:lvl>
    <w:lvl w:ilvl="5" w:tplc="7334130C">
      <w:start w:val="1"/>
      <w:numFmt w:val="lowerRoman"/>
      <w:lvlText w:val="%6."/>
      <w:lvlJc w:val="right"/>
      <w:pPr>
        <w:ind w:left="4320" w:hanging="180"/>
      </w:pPr>
    </w:lvl>
    <w:lvl w:ilvl="6" w:tplc="FEEC42C8">
      <w:start w:val="1"/>
      <w:numFmt w:val="decimal"/>
      <w:lvlText w:val="%7."/>
      <w:lvlJc w:val="left"/>
      <w:pPr>
        <w:ind w:left="5040" w:hanging="360"/>
      </w:pPr>
    </w:lvl>
    <w:lvl w:ilvl="7" w:tplc="7116F410">
      <w:start w:val="1"/>
      <w:numFmt w:val="lowerLetter"/>
      <w:lvlText w:val="%8."/>
      <w:lvlJc w:val="left"/>
      <w:pPr>
        <w:ind w:left="5760" w:hanging="360"/>
      </w:pPr>
    </w:lvl>
    <w:lvl w:ilvl="8" w:tplc="B8E0FF9E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288200C"/>
    <w:multiLevelType w:val="hybridMultilevel"/>
    <w:tmpl w:val="4C18AD1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3427C2F"/>
    <w:multiLevelType w:val="hybridMultilevel"/>
    <w:tmpl w:val="D7BA80D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48196A2"/>
    <w:multiLevelType w:val="hybridMultilevel"/>
    <w:tmpl w:val="5BD0D842"/>
    <w:lvl w:ilvl="0" w:tplc="FC8AC812">
      <w:start w:val="1"/>
      <w:numFmt w:val="decimal"/>
      <w:lvlText w:val="%1."/>
      <w:lvlJc w:val="left"/>
      <w:pPr>
        <w:ind w:left="720" w:hanging="360"/>
      </w:pPr>
    </w:lvl>
    <w:lvl w:ilvl="1" w:tplc="F0742F3A">
      <w:start w:val="1"/>
      <w:numFmt w:val="lowerLetter"/>
      <w:lvlText w:val="%2."/>
      <w:lvlJc w:val="left"/>
      <w:pPr>
        <w:ind w:left="1440" w:hanging="360"/>
      </w:pPr>
    </w:lvl>
    <w:lvl w:ilvl="2" w:tplc="1BE688D8">
      <w:start w:val="1"/>
      <w:numFmt w:val="lowerRoman"/>
      <w:lvlText w:val="%3."/>
      <w:lvlJc w:val="right"/>
      <w:pPr>
        <w:ind w:left="2160" w:hanging="180"/>
      </w:pPr>
    </w:lvl>
    <w:lvl w:ilvl="3" w:tplc="33909A24">
      <w:start w:val="1"/>
      <w:numFmt w:val="decimal"/>
      <w:lvlText w:val="%4."/>
      <w:lvlJc w:val="left"/>
      <w:pPr>
        <w:ind w:left="2880" w:hanging="360"/>
      </w:pPr>
    </w:lvl>
    <w:lvl w:ilvl="4" w:tplc="D5BAEEC2">
      <w:start w:val="1"/>
      <w:numFmt w:val="lowerLetter"/>
      <w:lvlText w:val="%5."/>
      <w:lvlJc w:val="left"/>
      <w:pPr>
        <w:ind w:left="3600" w:hanging="360"/>
      </w:pPr>
    </w:lvl>
    <w:lvl w:ilvl="5" w:tplc="23C23462">
      <w:start w:val="1"/>
      <w:numFmt w:val="lowerRoman"/>
      <w:lvlText w:val="%6."/>
      <w:lvlJc w:val="right"/>
      <w:pPr>
        <w:ind w:left="4320" w:hanging="180"/>
      </w:pPr>
    </w:lvl>
    <w:lvl w:ilvl="6" w:tplc="F4A6388E">
      <w:start w:val="1"/>
      <w:numFmt w:val="decimal"/>
      <w:lvlText w:val="%7."/>
      <w:lvlJc w:val="left"/>
      <w:pPr>
        <w:ind w:left="5040" w:hanging="360"/>
      </w:pPr>
    </w:lvl>
    <w:lvl w:ilvl="7" w:tplc="04022A98">
      <w:start w:val="1"/>
      <w:numFmt w:val="lowerLetter"/>
      <w:lvlText w:val="%8."/>
      <w:lvlJc w:val="left"/>
      <w:pPr>
        <w:ind w:left="5760" w:hanging="360"/>
      </w:pPr>
    </w:lvl>
    <w:lvl w:ilvl="8" w:tplc="5432643E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A2C394B"/>
    <w:multiLevelType w:val="hybridMultilevel"/>
    <w:tmpl w:val="62E2E5D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228A1CF"/>
    <w:multiLevelType w:val="multilevel"/>
    <w:tmpl w:val="89BED5BC"/>
    <w:lvl w:ilvl="0">
      <w:start w:val="1"/>
      <w:numFmt w:val="decimal"/>
      <w:lvlText w:val="%1."/>
      <w:lvlJc w:val="right"/>
      <w:pPr>
        <w:ind w:left="720" w:hanging="360"/>
      </w:pPr>
      <w:rPr>
        <w:rFonts w:ascii="Verdana" w:hAnsi="Verdana"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46329DF"/>
    <w:multiLevelType w:val="hybridMultilevel"/>
    <w:tmpl w:val="F842980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49A3EFF"/>
    <w:multiLevelType w:val="hybridMultilevel"/>
    <w:tmpl w:val="78F4CE60"/>
    <w:lvl w:ilvl="0" w:tplc="F064DB98">
      <w:start w:val="1"/>
      <w:numFmt w:val="decimal"/>
      <w:lvlText w:val="%1."/>
      <w:lvlJc w:val="left"/>
      <w:pPr>
        <w:ind w:left="720" w:hanging="360"/>
      </w:pPr>
    </w:lvl>
    <w:lvl w:ilvl="1" w:tplc="014AEEA8">
      <w:start w:val="1"/>
      <w:numFmt w:val="lowerLetter"/>
      <w:lvlText w:val="%2."/>
      <w:lvlJc w:val="left"/>
      <w:pPr>
        <w:ind w:left="1440" w:hanging="360"/>
      </w:pPr>
    </w:lvl>
    <w:lvl w:ilvl="2" w:tplc="23468CC2">
      <w:start w:val="1"/>
      <w:numFmt w:val="lowerRoman"/>
      <w:lvlText w:val="%3."/>
      <w:lvlJc w:val="right"/>
      <w:pPr>
        <w:ind w:left="2160" w:hanging="180"/>
      </w:pPr>
    </w:lvl>
    <w:lvl w:ilvl="3" w:tplc="63484CEE">
      <w:start w:val="1"/>
      <w:numFmt w:val="decimal"/>
      <w:lvlText w:val="%4."/>
      <w:lvlJc w:val="left"/>
      <w:pPr>
        <w:ind w:left="2880" w:hanging="360"/>
      </w:pPr>
    </w:lvl>
    <w:lvl w:ilvl="4" w:tplc="C7242CCC">
      <w:start w:val="1"/>
      <w:numFmt w:val="lowerLetter"/>
      <w:lvlText w:val="%5."/>
      <w:lvlJc w:val="left"/>
      <w:pPr>
        <w:ind w:left="3600" w:hanging="360"/>
      </w:pPr>
    </w:lvl>
    <w:lvl w:ilvl="5" w:tplc="EE3E61B0">
      <w:start w:val="1"/>
      <w:numFmt w:val="lowerRoman"/>
      <w:lvlText w:val="%6."/>
      <w:lvlJc w:val="right"/>
      <w:pPr>
        <w:ind w:left="4320" w:hanging="180"/>
      </w:pPr>
    </w:lvl>
    <w:lvl w:ilvl="6" w:tplc="1DCECF24">
      <w:start w:val="1"/>
      <w:numFmt w:val="decimal"/>
      <w:lvlText w:val="%7."/>
      <w:lvlJc w:val="left"/>
      <w:pPr>
        <w:ind w:left="5040" w:hanging="360"/>
      </w:pPr>
    </w:lvl>
    <w:lvl w:ilvl="7" w:tplc="196C9EE8">
      <w:start w:val="1"/>
      <w:numFmt w:val="lowerLetter"/>
      <w:lvlText w:val="%8."/>
      <w:lvlJc w:val="left"/>
      <w:pPr>
        <w:ind w:left="5760" w:hanging="360"/>
      </w:pPr>
    </w:lvl>
    <w:lvl w:ilvl="8" w:tplc="98543248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55F5492"/>
    <w:multiLevelType w:val="hybridMultilevel"/>
    <w:tmpl w:val="709EE9B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5968472"/>
    <w:multiLevelType w:val="hybridMultilevel"/>
    <w:tmpl w:val="FD6CD2F8"/>
    <w:lvl w:ilvl="0" w:tplc="2A240E1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598A6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EA4EFE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AE4FAE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142E09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9AAFFD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9F6DFA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DB6D1A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D6333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7B618CE"/>
    <w:multiLevelType w:val="hybridMultilevel"/>
    <w:tmpl w:val="B050603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92D52AA"/>
    <w:multiLevelType w:val="hybridMultilevel"/>
    <w:tmpl w:val="16D090F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978A16D"/>
    <w:multiLevelType w:val="multilevel"/>
    <w:tmpl w:val="0C068BA8"/>
    <w:lvl w:ilvl="0">
      <w:start w:val="2"/>
      <w:numFmt w:val="decimal"/>
      <w:lvlText w:val="%1."/>
      <w:lvlJc w:val="right"/>
      <w:pPr>
        <w:ind w:left="720" w:hanging="360"/>
      </w:pPr>
      <w:rPr>
        <w:rFonts w:ascii="Verdana" w:hAnsi="Verdana"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B09241C"/>
    <w:multiLevelType w:val="hybridMultilevel"/>
    <w:tmpl w:val="6BD074A8"/>
    <w:lvl w:ilvl="0" w:tplc="B3706EAE">
      <w:start w:val="1"/>
      <w:numFmt w:val="upperLetter"/>
      <w:lvlText w:val="%1."/>
      <w:lvlJc w:val="left"/>
      <w:pPr>
        <w:ind w:left="720" w:hanging="360"/>
      </w:pPr>
    </w:lvl>
    <w:lvl w:ilvl="1" w:tplc="8CB43E08">
      <w:start w:val="1"/>
      <w:numFmt w:val="lowerLetter"/>
      <w:lvlText w:val="%2."/>
      <w:lvlJc w:val="left"/>
      <w:pPr>
        <w:ind w:left="1440" w:hanging="360"/>
      </w:pPr>
    </w:lvl>
    <w:lvl w:ilvl="2" w:tplc="0D08332C">
      <w:start w:val="1"/>
      <w:numFmt w:val="lowerRoman"/>
      <w:lvlText w:val="%3."/>
      <w:lvlJc w:val="right"/>
      <w:pPr>
        <w:ind w:left="2160" w:hanging="180"/>
      </w:pPr>
    </w:lvl>
    <w:lvl w:ilvl="3" w:tplc="833E6928">
      <w:start w:val="1"/>
      <w:numFmt w:val="decimal"/>
      <w:lvlText w:val="%4."/>
      <w:lvlJc w:val="left"/>
      <w:pPr>
        <w:ind w:left="2880" w:hanging="360"/>
      </w:pPr>
    </w:lvl>
    <w:lvl w:ilvl="4" w:tplc="91200536">
      <w:start w:val="1"/>
      <w:numFmt w:val="lowerLetter"/>
      <w:lvlText w:val="%5."/>
      <w:lvlJc w:val="left"/>
      <w:pPr>
        <w:ind w:left="3600" w:hanging="360"/>
      </w:pPr>
    </w:lvl>
    <w:lvl w:ilvl="5" w:tplc="5BE82D4E">
      <w:start w:val="1"/>
      <w:numFmt w:val="lowerRoman"/>
      <w:lvlText w:val="%6."/>
      <w:lvlJc w:val="right"/>
      <w:pPr>
        <w:ind w:left="4320" w:hanging="180"/>
      </w:pPr>
    </w:lvl>
    <w:lvl w:ilvl="6" w:tplc="60C4A186">
      <w:start w:val="1"/>
      <w:numFmt w:val="decimal"/>
      <w:lvlText w:val="%7."/>
      <w:lvlJc w:val="left"/>
      <w:pPr>
        <w:ind w:left="5040" w:hanging="360"/>
      </w:pPr>
    </w:lvl>
    <w:lvl w:ilvl="7" w:tplc="3C8C219A">
      <w:start w:val="1"/>
      <w:numFmt w:val="lowerLetter"/>
      <w:lvlText w:val="%8."/>
      <w:lvlJc w:val="left"/>
      <w:pPr>
        <w:ind w:left="5760" w:hanging="360"/>
      </w:pPr>
    </w:lvl>
    <w:lvl w:ilvl="8" w:tplc="856269E8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BF475B6"/>
    <w:multiLevelType w:val="hybridMultilevel"/>
    <w:tmpl w:val="2C725B6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CAEDD76"/>
    <w:multiLevelType w:val="multilevel"/>
    <w:tmpl w:val="5BA2EFDC"/>
    <w:lvl w:ilvl="0">
      <w:start w:val="1"/>
      <w:numFmt w:val="decimal"/>
      <w:lvlText w:val="%1."/>
      <w:lvlJc w:val="right"/>
      <w:pPr>
        <w:ind w:left="720" w:hanging="360"/>
      </w:pPr>
    </w:lvl>
    <w:lvl w:ilvl="1">
      <w:start w:val="1"/>
      <w:numFmt w:val="decimal"/>
      <w:lvlText w:val="%1.%2."/>
      <w:lvlJc w:val="right"/>
      <w:pPr>
        <w:ind w:left="1440" w:hanging="360"/>
      </w:p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E0E66D7"/>
    <w:multiLevelType w:val="hybridMultilevel"/>
    <w:tmpl w:val="7CD6900A"/>
    <w:lvl w:ilvl="0" w:tplc="626E8DEE">
      <w:start w:val="1"/>
      <w:numFmt w:val="decimal"/>
      <w:lvlText w:val="%1."/>
      <w:lvlJc w:val="left"/>
      <w:pPr>
        <w:ind w:left="720" w:hanging="360"/>
      </w:pPr>
    </w:lvl>
    <w:lvl w:ilvl="1" w:tplc="888AA286">
      <w:start w:val="1"/>
      <w:numFmt w:val="lowerLetter"/>
      <w:lvlText w:val="%2."/>
      <w:lvlJc w:val="left"/>
      <w:pPr>
        <w:ind w:left="1440" w:hanging="360"/>
      </w:pPr>
    </w:lvl>
    <w:lvl w:ilvl="2" w:tplc="6A746AF6">
      <w:start w:val="1"/>
      <w:numFmt w:val="lowerRoman"/>
      <w:lvlText w:val="%3."/>
      <w:lvlJc w:val="right"/>
      <w:pPr>
        <w:ind w:left="2160" w:hanging="180"/>
      </w:pPr>
    </w:lvl>
    <w:lvl w:ilvl="3" w:tplc="EB72FC9A">
      <w:start w:val="1"/>
      <w:numFmt w:val="decimal"/>
      <w:lvlText w:val="%4."/>
      <w:lvlJc w:val="left"/>
      <w:pPr>
        <w:ind w:left="2880" w:hanging="360"/>
      </w:pPr>
    </w:lvl>
    <w:lvl w:ilvl="4" w:tplc="5786229E">
      <w:start w:val="1"/>
      <w:numFmt w:val="lowerLetter"/>
      <w:lvlText w:val="%5."/>
      <w:lvlJc w:val="left"/>
      <w:pPr>
        <w:ind w:left="3600" w:hanging="360"/>
      </w:pPr>
    </w:lvl>
    <w:lvl w:ilvl="5" w:tplc="565EE870">
      <w:start w:val="1"/>
      <w:numFmt w:val="lowerRoman"/>
      <w:lvlText w:val="%6."/>
      <w:lvlJc w:val="right"/>
      <w:pPr>
        <w:ind w:left="4320" w:hanging="180"/>
      </w:pPr>
    </w:lvl>
    <w:lvl w:ilvl="6" w:tplc="CF06AB3A">
      <w:start w:val="1"/>
      <w:numFmt w:val="decimal"/>
      <w:lvlText w:val="%7."/>
      <w:lvlJc w:val="left"/>
      <w:pPr>
        <w:ind w:left="5040" w:hanging="360"/>
      </w:pPr>
    </w:lvl>
    <w:lvl w:ilvl="7" w:tplc="7A4059DC">
      <w:start w:val="1"/>
      <w:numFmt w:val="lowerLetter"/>
      <w:lvlText w:val="%8."/>
      <w:lvlJc w:val="left"/>
      <w:pPr>
        <w:ind w:left="5760" w:hanging="360"/>
      </w:pPr>
    </w:lvl>
    <w:lvl w:ilvl="8" w:tplc="D61EE730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E2DA8FD"/>
    <w:multiLevelType w:val="hybridMultilevel"/>
    <w:tmpl w:val="8BCCAD66"/>
    <w:lvl w:ilvl="0" w:tplc="CC06BD9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69C486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AD8945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DFC21D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9B084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050725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C816B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70C6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2F08ED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5B642E9"/>
    <w:multiLevelType w:val="hybridMultilevel"/>
    <w:tmpl w:val="491AD35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60056C0"/>
    <w:multiLevelType w:val="hybridMultilevel"/>
    <w:tmpl w:val="BD1C5E2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7032513"/>
    <w:multiLevelType w:val="multilevel"/>
    <w:tmpl w:val="BBDA1C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CCCD2EC"/>
    <w:multiLevelType w:val="hybridMultilevel"/>
    <w:tmpl w:val="8D06BB58"/>
    <w:lvl w:ilvl="0" w:tplc="B10A5A46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1" w:tplc="A6DE1E54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DDDE3D82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E82CC70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86B8D65A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D7B0295C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1C04058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D65662E0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C34611B4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4845A633"/>
    <w:multiLevelType w:val="hybridMultilevel"/>
    <w:tmpl w:val="F8E04814"/>
    <w:lvl w:ilvl="0" w:tplc="83CCADA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670C88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94C782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D2A5B5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3B4E07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A704B1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96428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94C368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AA6A1D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CA80375"/>
    <w:multiLevelType w:val="multilevel"/>
    <w:tmpl w:val="9C92FBE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360"/>
      </w:pPr>
    </w:lvl>
    <w:lvl w:ilvl="2">
      <w:start w:val="1"/>
      <w:numFmt w:val="decimal"/>
      <w:lvlText w:val="%1.%2.%3."/>
      <w:lvlJc w:val="lef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decimal"/>
      <w:lvlText w:val="%1.%2.%3.%4.%5."/>
      <w:lvlJc w:val="left"/>
      <w:pPr>
        <w:ind w:left="3600" w:hanging="360"/>
      </w:pPr>
    </w:lvl>
    <w:lvl w:ilvl="5">
      <w:start w:val="1"/>
      <w:numFmt w:val="decimal"/>
      <w:lvlText w:val="%1.%2.%3.%4.%5.%6."/>
      <w:lvlJc w:val="lef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decimal"/>
      <w:lvlText w:val="%1.%2.%3.%4.%5.%6.%7.%8."/>
      <w:lvlJc w:val="left"/>
      <w:pPr>
        <w:ind w:left="5760" w:hanging="360"/>
      </w:pPr>
    </w:lvl>
    <w:lvl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w:abstractNumId="27" w15:restartNumberingAfterBreak="0">
    <w:nsid w:val="4ED8F67B"/>
    <w:multiLevelType w:val="hybridMultilevel"/>
    <w:tmpl w:val="0DB40826"/>
    <w:lvl w:ilvl="0" w:tplc="FB381880">
      <w:start w:val="1"/>
      <w:numFmt w:val="decimal"/>
      <w:lvlText w:val="%1."/>
      <w:lvlJc w:val="left"/>
      <w:pPr>
        <w:ind w:left="720" w:hanging="360"/>
      </w:pPr>
    </w:lvl>
    <w:lvl w:ilvl="1" w:tplc="295E72C4">
      <w:start w:val="1"/>
      <w:numFmt w:val="lowerLetter"/>
      <w:lvlText w:val="%2."/>
      <w:lvlJc w:val="left"/>
      <w:pPr>
        <w:ind w:left="1440" w:hanging="360"/>
      </w:pPr>
    </w:lvl>
    <w:lvl w:ilvl="2" w:tplc="417C9284">
      <w:start w:val="1"/>
      <w:numFmt w:val="lowerRoman"/>
      <w:lvlText w:val="%3."/>
      <w:lvlJc w:val="right"/>
      <w:pPr>
        <w:ind w:left="2160" w:hanging="180"/>
      </w:pPr>
    </w:lvl>
    <w:lvl w:ilvl="3" w:tplc="7B62FA06">
      <w:start w:val="1"/>
      <w:numFmt w:val="decimal"/>
      <w:lvlText w:val="%4."/>
      <w:lvlJc w:val="left"/>
      <w:pPr>
        <w:ind w:left="2880" w:hanging="360"/>
      </w:pPr>
    </w:lvl>
    <w:lvl w:ilvl="4" w:tplc="6FFA6A52">
      <w:start w:val="1"/>
      <w:numFmt w:val="lowerLetter"/>
      <w:lvlText w:val="%5."/>
      <w:lvlJc w:val="left"/>
      <w:pPr>
        <w:ind w:left="3600" w:hanging="360"/>
      </w:pPr>
    </w:lvl>
    <w:lvl w:ilvl="5" w:tplc="5F967A8C">
      <w:start w:val="1"/>
      <w:numFmt w:val="lowerRoman"/>
      <w:lvlText w:val="%6."/>
      <w:lvlJc w:val="right"/>
      <w:pPr>
        <w:ind w:left="4320" w:hanging="180"/>
      </w:pPr>
    </w:lvl>
    <w:lvl w:ilvl="6" w:tplc="AB9CEC28">
      <w:start w:val="1"/>
      <w:numFmt w:val="decimal"/>
      <w:lvlText w:val="%7."/>
      <w:lvlJc w:val="left"/>
      <w:pPr>
        <w:ind w:left="5040" w:hanging="360"/>
      </w:pPr>
    </w:lvl>
    <w:lvl w:ilvl="7" w:tplc="49AE2ADA">
      <w:start w:val="1"/>
      <w:numFmt w:val="lowerLetter"/>
      <w:lvlText w:val="%8."/>
      <w:lvlJc w:val="left"/>
      <w:pPr>
        <w:ind w:left="5760" w:hanging="360"/>
      </w:pPr>
    </w:lvl>
    <w:lvl w:ilvl="8" w:tplc="4A8ADE70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22B797B"/>
    <w:multiLevelType w:val="hybridMultilevel"/>
    <w:tmpl w:val="4A8EAF0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2985F93"/>
    <w:multiLevelType w:val="multilevel"/>
    <w:tmpl w:val="FFFFFFFF"/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850" w:hanging="359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30" w15:restartNumberingAfterBreak="0">
    <w:nsid w:val="5563ECA1"/>
    <w:multiLevelType w:val="hybridMultilevel"/>
    <w:tmpl w:val="6458F454"/>
    <w:lvl w:ilvl="0" w:tplc="C0369026">
      <w:start w:val="1"/>
      <w:numFmt w:val="decimal"/>
      <w:lvlText w:val="%1)"/>
      <w:lvlJc w:val="left"/>
      <w:pPr>
        <w:ind w:left="720" w:hanging="360"/>
      </w:pPr>
    </w:lvl>
    <w:lvl w:ilvl="1" w:tplc="83C21292">
      <w:start w:val="1"/>
      <w:numFmt w:val="lowerLetter"/>
      <w:lvlText w:val="%2."/>
      <w:lvlJc w:val="left"/>
      <w:pPr>
        <w:ind w:left="1440" w:hanging="360"/>
      </w:pPr>
    </w:lvl>
    <w:lvl w:ilvl="2" w:tplc="D32CBB58">
      <w:start w:val="1"/>
      <w:numFmt w:val="lowerRoman"/>
      <w:lvlText w:val="%3."/>
      <w:lvlJc w:val="right"/>
      <w:pPr>
        <w:ind w:left="2160" w:hanging="180"/>
      </w:pPr>
    </w:lvl>
    <w:lvl w:ilvl="3" w:tplc="BF301EE8">
      <w:start w:val="1"/>
      <w:numFmt w:val="decimal"/>
      <w:lvlText w:val="%4."/>
      <w:lvlJc w:val="left"/>
      <w:pPr>
        <w:ind w:left="2880" w:hanging="360"/>
      </w:pPr>
    </w:lvl>
    <w:lvl w:ilvl="4" w:tplc="25161CD2">
      <w:start w:val="1"/>
      <w:numFmt w:val="lowerLetter"/>
      <w:lvlText w:val="%5."/>
      <w:lvlJc w:val="left"/>
      <w:pPr>
        <w:ind w:left="3600" w:hanging="360"/>
      </w:pPr>
    </w:lvl>
    <w:lvl w:ilvl="5" w:tplc="F8CA1124">
      <w:start w:val="1"/>
      <w:numFmt w:val="lowerRoman"/>
      <w:lvlText w:val="%6."/>
      <w:lvlJc w:val="right"/>
      <w:pPr>
        <w:ind w:left="4320" w:hanging="180"/>
      </w:pPr>
    </w:lvl>
    <w:lvl w:ilvl="6" w:tplc="0694A8F0">
      <w:start w:val="1"/>
      <w:numFmt w:val="decimal"/>
      <w:lvlText w:val="%7."/>
      <w:lvlJc w:val="left"/>
      <w:pPr>
        <w:ind w:left="5040" w:hanging="360"/>
      </w:pPr>
    </w:lvl>
    <w:lvl w:ilvl="7" w:tplc="87508D10">
      <w:start w:val="1"/>
      <w:numFmt w:val="lowerLetter"/>
      <w:lvlText w:val="%8."/>
      <w:lvlJc w:val="left"/>
      <w:pPr>
        <w:ind w:left="5760" w:hanging="360"/>
      </w:pPr>
    </w:lvl>
    <w:lvl w:ilvl="8" w:tplc="1E06337E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8A921BC"/>
    <w:multiLevelType w:val="multilevel"/>
    <w:tmpl w:val="A8F2F3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AEF405D"/>
    <w:multiLevelType w:val="hybridMultilevel"/>
    <w:tmpl w:val="07BCF5C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7C1817D"/>
    <w:multiLevelType w:val="hybridMultilevel"/>
    <w:tmpl w:val="97F4F2B4"/>
    <w:lvl w:ilvl="0" w:tplc="7C4E1AC0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BFBE560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6CC1A5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0FCAD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204CF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F484B3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BA8147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2E26A0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23E334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DDF7262"/>
    <w:multiLevelType w:val="multilevel"/>
    <w:tmpl w:val="B2829A4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360"/>
      </w:pPr>
    </w:lvl>
    <w:lvl w:ilvl="2">
      <w:start w:val="1"/>
      <w:numFmt w:val="decimal"/>
      <w:lvlText w:val="%1.%2.%3."/>
      <w:lvlJc w:val="lef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decimal"/>
      <w:lvlText w:val="%1.%2.%3.%4.%5."/>
      <w:lvlJc w:val="left"/>
      <w:pPr>
        <w:ind w:left="3600" w:hanging="360"/>
      </w:pPr>
    </w:lvl>
    <w:lvl w:ilvl="5">
      <w:start w:val="1"/>
      <w:numFmt w:val="decimal"/>
      <w:lvlText w:val="%1.%2.%3.%4.%5.%6."/>
      <w:lvlJc w:val="lef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decimal"/>
      <w:lvlText w:val="%1.%2.%3.%4.%5.%6.%7.%8."/>
      <w:lvlJc w:val="left"/>
      <w:pPr>
        <w:ind w:left="5760" w:hanging="360"/>
      </w:pPr>
    </w:lvl>
    <w:lvl w:ilvl="8">
      <w:start w:val="1"/>
      <w:numFmt w:val="decimal"/>
      <w:lvlText w:val="%1.%2.%3.%4.%5.%6.%7.%8.%9."/>
      <w:lvlJc w:val="left"/>
      <w:pPr>
        <w:ind w:left="6480" w:hanging="180"/>
      </w:pPr>
    </w:lvl>
  </w:abstractNum>
  <w:num w:numId="1" w16cid:durableId="311912866">
    <w:abstractNumId w:val="24"/>
  </w:num>
  <w:num w:numId="2" w16cid:durableId="434011757">
    <w:abstractNumId w:val="33"/>
  </w:num>
  <w:num w:numId="3" w16cid:durableId="817117099">
    <w:abstractNumId w:val="12"/>
  </w:num>
  <w:num w:numId="4" w16cid:durableId="727875134">
    <w:abstractNumId w:val="20"/>
  </w:num>
  <w:num w:numId="5" w16cid:durableId="421730000">
    <w:abstractNumId w:val="34"/>
  </w:num>
  <w:num w:numId="6" w16cid:durableId="1365055219">
    <w:abstractNumId w:val="26"/>
  </w:num>
  <w:num w:numId="7" w16cid:durableId="154033849">
    <w:abstractNumId w:val="2"/>
  </w:num>
  <w:num w:numId="8" w16cid:durableId="1094519026">
    <w:abstractNumId w:val="15"/>
  </w:num>
  <w:num w:numId="9" w16cid:durableId="653997233">
    <w:abstractNumId w:val="18"/>
  </w:num>
  <w:num w:numId="10" w16cid:durableId="1867936540">
    <w:abstractNumId w:val="8"/>
  </w:num>
  <w:num w:numId="11" w16cid:durableId="1744985522">
    <w:abstractNumId w:val="3"/>
  </w:num>
  <w:num w:numId="12" w16cid:durableId="554508347">
    <w:abstractNumId w:val="30"/>
  </w:num>
  <w:num w:numId="13" w16cid:durableId="1620448297">
    <w:abstractNumId w:val="19"/>
  </w:num>
  <w:num w:numId="14" w16cid:durableId="2008748922">
    <w:abstractNumId w:val="16"/>
  </w:num>
  <w:num w:numId="15" w16cid:durableId="2064863073">
    <w:abstractNumId w:val="10"/>
  </w:num>
  <w:num w:numId="16" w16cid:durableId="826480122">
    <w:abstractNumId w:val="0"/>
  </w:num>
  <w:num w:numId="17" w16cid:durableId="502934661">
    <w:abstractNumId w:val="27"/>
  </w:num>
  <w:num w:numId="18" w16cid:durableId="742874643">
    <w:abstractNumId w:val="25"/>
  </w:num>
  <w:num w:numId="19" w16cid:durableId="896745734">
    <w:abstractNumId w:val="6"/>
  </w:num>
  <w:num w:numId="20" w16cid:durableId="1607345110">
    <w:abstractNumId w:val="29"/>
  </w:num>
  <w:num w:numId="21" w16cid:durableId="672104276">
    <w:abstractNumId w:val="1"/>
  </w:num>
  <w:num w:numId="22" w16cid:durableId="699938888">
    <w:abstractNumId w:val="32"/>
  </w:num>
  <w:num w:numId="23" w16cid:durableId="73861394">
    <w:abstractNumId w:val="9"/>
  </w:num>
  <w:num w:numId="24" w16cid:durableId="728111199">
    <w:abstractNumId w:val="11"/>
  </w:num>
  <w:num w:numId="25" w16cid:durableId="328867982">
    <w:abstractNumId w:val="13"/>
  </w:num>
  <w:num w:numId="26" w16cid:durableId="97260005">
    <w:abstractNumId w:val="21"/>
  </w:num>
  <w:num w:numId="27" w16cid:durableId="1653098381">
    <w:abstractNumId w:val="14"/>
  </w:num>
  <w:num w:numId="28" w16cid:durableId="266930323">
    <w:abstractNumId w:val="31"/>
  </w:num>
  <w:num w:numId="29" w16cid:durableId="918295967">
    <w:abstractNumId w:val="17"/>
  </w:num>
  <w:num w:numId="30" w16cid:durableId="218634221">
    <w:abstractNumId w:val="4"/>
  </w:num>
  <w:num w:numId="31" w16cid:durableId="2087679983">
    <w:abstractNumId w:val="23"/>
  </w:num>
  <w:num w:numId="32" w16cid:durableId="378164393">
    <w:abstractNumId w:val="5"/>
  </w:num>
  <w:num w:numId="33" w16cid:durableId="688524739">
    <w:abstractNumId w:val="7"/>
  </w:num>
  <w:num w:numId="34" w16cid:durableId="1382510390">
    <w:abstractNumId w:val="22"/>
  </w:num>
  <w:num w:numId="35" w16cid:durableId="416904288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attachedTemplate r:id="rId1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68AC"/>
    <w:rsid w:val="00021B06"/>
    <w:rsid w:val="0002273F"/>
    <w:rsid w:val="000450BF"/>
    <w:rsid w:val="0005585C"/>
    <w:rsid w:val="00057990"/>
    <w:rsid w:val="00060985"/>
    <w:rsid w:val="000756E1"/>
    <w:rsid w:val="000D0130"/>
    <w:rsid w:val="0010055F"/>
    <w:rsid w:val="00153277"/>
    <w:rsid w:val="001D2708"/>
    <w:rsid w:val="001D2828"/>
    <w:rsid w:val="001E6C1C"/>
    <w:rsid w:val="001F721A"/>
    <w:rsid w:val="002221D0"/>
    <w:rsid w:val="0022363A"/>
    <w:rsid w:val="00235936"/>
    <w:rsid w:val="0023635E"/>
    <w:rsid w:val="002503B0"/>
    <w:rsid w:val="00260658"/>
    <w:rsid w:val="00274E36"/>
    <w:rsid w:val="00275B7B"/>
    <w:rsid w:val="00277BCF"/>
    <w:rsid w:val="00295E01"/>
    <w:rsid w:val="002F6ECB"/>
    <w:rsid w:val="003A26DA"/>
    <w:rsid w:val="003C5AAE"/>
    <w:rsid w:val="003C7F9E"/>
    <w:rsid w:val="003D24F7"/>
    <w:rsid w:val="003E03C3"/>
    <w:rsid w:val="004623E2"/>
    <w:rsid w:val="004753CC"/>
    <w:rsid w:val="00485D07"/>
    <w:rsid w:val="004A0611"/>
    <w:rsid w:val="004A3468"/>
    <w:rsid w:val="00500886"/>
    <w:rsid w:val="005A7372"/>
    <w:rsid w:val="00635534"/>
    <w:rsid w:val="0064E8FF"/>
    <w:rsid w:val="00661D90"/>
    <w:rsid w:val="00683100"/>
    <w:rsid w:val="006F0EA7"/>
    <w:rsid w:val="006F485D"/>
    <w:rsid w:val="00737077"/>
    <w:rsid w:val="00761ABC"/>
    <w:rsid w:val="00792FEA"/>
    <w:rsid w:val="007C4B1C"/>
    <w:rsid w:val="007F6845"/>
    <w:rsid w:val="00881D14"/>
    <w:rsid w:val="008969E6"/>
    <w:rsid w:val="00897F24"/>
    <w:rsid w:val="008B2B57"/>
    <w:rsid w:val="00942351"/>
    <w:rsid w:val="00943531"/>
    <w:rsid w:val="0095423E"/>
    <w:rsid w:val="00973D7B"/>
    <w:rsid w:val="0099678D"/>
    <w:rsid w:val="009D10D5"/>
    <w:rsid w:val="009E056D"/>
    <w:rsid w:val="009F57FF"/>
    <w:rsid w:val="00A041B0"/>
    <w:rsid w:val="00A21E94"/>
    <w:rsid w:val="00A26EF3"/>
    <w:rsid w:val="00A40427"/>
    <w:rsid w:val="00A436B4"/>
    <w:rsid w:val="00AA2D55"/>
    <w:rsid w:val="00AA59FD"/>
    <w:rsid w:val="00AE7C8E"/>
    <w:rsid w:val="00B0517D"/>
    <w:rsid w:val="00B34570"/>
    <w:rsid w:val="00B376C8"/>
    <w:rsid w:val="00B53491"/>
    <w:rsid w:val="00B90EC5"/>
    <w:rsid w:val="00BB5CAA"/>
    <w:rsid w:val="00BB6DBB"/>
    <w:rsid w:val="00C12884"/>
    <w:rsid w:val="00C15B2F"/>
    <w:rsid w:val="00C626B1"/>
    <w:rsid w:val="00C675C0"/>
    <w:rsid w:val="00C93441"/>
    <w:rsid w:val="00C968AC"/>
    <w:rsid w:val="00CC5D79"/>
    <w:rsid w:val="00CD33D2"/>
    <w:rsid w:val="00D07E70"/>
    <w:rsid w:val="00DA2488"/>
    <w:rsid w:val="00DC739E"/>
    <w:rsid w:val="00DD1754"/>
    <w:rsid w:val="00E724D6"/>
    <w:rsid w:val="00F553CB"/>
    <w:rsid w:val="00F55B8C"/>
    <w:rsid w:val="00F57ADF"/>
    <w:rsid w:val="017A37E0"/>
    <w:rsid w:val="018CBC2E"/>
    <w:rsid w:val="01914619"/>
    <w:rsid w:val="026C9D37"/>
    <w:rsid w:val="03567DF1"/>
    <w:rsid w:val="03BA8A38"/>
    <w:rsid w:val="03BB8CDB"/>
    <w:rsid w:val="040A712A"/>
    <w:rsid w:val="0468971A"/>
    <w:rsid w:val="04BDD92C"/>
    <w:rsid w:val="0554104A"/>
    <w:rsid w:val="05793BF2"/>
    <w:rsid w:val="05E52A1B"/>
    <w:rsid w:val="05E666C4"/>
    <w:rsid w:val="061F3F6C"/>
    <w:rsid w:val="0651A66F"/>
    <w:rsid w:val="0690A0EA"/>
    <w:rsid w:val="073ED380"/>
    <w:rsid w:val="0792E994"/>
    <w:rsid w:val="08018370"/>
    <w:rsid w:val="08A54AB8"/>
    <w:rsid w:val="08C31A6D"/>
    <w:rsid w:val="08C739D4"/>
    <w:rsid w:val="0917D25E"/>
    <w:rsid w:val="094D7D3C"/>
    <w:rsid w:val="096B343F"/>
    <w:rsid w:val="097AD0B1"/>
    <w:rsid w:val="098A01F7"/>
    <w:rsid w:val="0A67DF18"/>
    <w:rsid w:val="0A964683"/>
    <w:rsid w:val="0D20252E"/>
    <w:rsid w:val="0D3EAE89"/>
    <w:rsid w:val="0DAACDEE"/>
    <w:rsid w:val="0DEB80D1"/>
    <w:rsid w:val="0E3E1624"/>
    <w:rsid w:val="0F676FEB"/>
    <w:rsid w:val="0F8076E3"/>
    <w:rsid w:val="10B27BB0"/>
    <w:rsid w:val="11E2196C"/>
    <w:rsid w:val="11F928CF"/>
    <w:rsid w:val="1213D5EB"/>
    <w:rsid w:val="125E80EF"/>
    <w:rsid w:val="12753E5A"/>
    <w:rsid w:val="127BD9AC"/>
    <w:rsid w:val="1286E8BE"/>
    <w:rsid w:val="12EB0666"/>
    <w:rsid w:val="13093DB0"/>
    <w:rsid w:val="1318F5B9"/>
    <w:rsid w:val="13845293"/>
    <w:rsid w:val="141510A6"/>
    <w:rsid w:val="14D4899B"/>
    <w:rsid w:val="1509D2D9"/>
    <w:rsid w:val="1578143F"/>
    <w:rsid w:val="168ACAD2"/>
    <w:rsid w:val="16D67F07"/>
    <w:rsid w:val="16EBFD4B"/>
    <w:rsid w:val="16F3FCBA"/>
    <w:rsid w:val="170746FD"/>
    <w:rsid w:val="175244D8"/>
    <w:rsid w:val="1791549A"/>
    <w:rsid w:val="17EE2E38"/>
    <w:rsid w:val="182223BF"/>
    <w:rsid w:val="1868EDD7"/>
    <w:rsid w:val="18FFB258"/>
    <w:rsid w:val="19E8B694"/>
    <w:rsid w:val="1A13863C"/>
    <w:rsid w:val="1A17603A"/>
    <w:rsid w:val="1B5A8AAA"/>
    <w:rsid w:val="1B861583"/>
    <w:rsid w:val="1BD81B4D"/>
    <w:rsid w:val="1BDA0A65"/>
    <w:rsid w:val="1C1D728C"/>
    <w:rsid w:val="1C3D451A"/>
    <w:rsid w:val="1C59C4A2"/>
    <w:rsid w:val="1C94301D"/>
    <w:rsid w:val="1CA17E2F"/>
    <w:rsid w:val="1D6FADFD"/>
    <w:rsid w:val="1D70AACB"/>
    <w:rsid w:val="1D7BA29A"/>
    <w:rsid w:val="1D907BB1"/>
    <w:rsid w:val="1DAF6909"/>
    <w:rsid w:val="1E29700F"/>
    <w:rsid w:val="1E67A195"/>
    <w:rsid w:val="1E8D391A"/>
    <w:rsid w:val="1EBB935B"/>
    <w:rsid w:val="1EBC6C74"/>
    <w:rsid w:val="1F6C87B2"/>
    <w:rsid w:val="1F6D4F89"/>
    <w:rsid w:val="1F920B79"/>
    <w:rsid w:val="1FCC93FD"/>
    <w:rsid w:val="1FEDCFA1"/>
    <w:rsid w:val="2004E9DA"/>
    <w:rsid w:val="20A85A36"/>
    <w:rsid w:val="21B8B074"/>
    <w:rsid w:val="21D44BA8"/>
    <w:rsid w:val="22BD8075"/>
    <w:rsid w:val="2306B511"/>
    <w:rsid w:val="240A98E5"/>
    <w:rsid w:val="2454E6F0"/>
    <w:rsid w:val="24CB6C93"/>
    <w:rsid w:val="24D783A0"/>
    <w:rsid w:val="24FD5659"/>
    <w:rsid w:val="2732703B"/>
    <w:rsid w:val="275DA112"/>
    <w:rsid w:val="276E4198"/>
    <w:rsid w:val="27B88FDB"/>
    <w:rsid w:val="2838C723"/>
    <w:rsid w:val="28394476"/>
    <w:rsid w:val="2874E9CA"/>
    <w:rsid w:val="288A3064"/>
    <w:rsid w:val="2913C4CD"/>
    <w:rsid w:val="2915D19B"/>
    <w:rsid w:val="29A929B6"/>
    <w:rsid w:val="29DA0B62"/>
    <w:rsid w:val="2A6D6C1E"/>
    <w:rsid w:val="2AB2263F"/>
    <w:rsid w:val="2C48AD00"/>
    <w:rsid w:val="2CC99C6A"/>
    <w:rsid w:val="2D43EF9B"/>
    <w:rsid w:val="2D7E269E"/>
    <w:rsid w:val="2DE9B78F"/>
    <w:rsid w:val="2E32FF09"/>
    <w:rsid w:val="2E53AF76"/>
    <w:rsid w:val="2E5C6CB3"/>
    <w:rsid w:val="2E72AA9D"/>
    <w:rsid w:val="2EAA005C"/>
    <w:rsid w:val="2EC4D25F"/>
    <w:rsid w:val="2EDB1A10"/>
    <w:rsid w:val="2F04D9C9"/>
    <w:rsid w:val="2F1ECDEA"/>
    <w:rsid w:val="2F7CDBD0"/>
    <w:rsid w:val="2FDC798D"/>
    <w:rsid w:val="2FF1CEF4"/>
    <w:rsid w:val="302ED01B"/>
    <w:rsid w:val="30A8AC38"/>
    <w:rsid w:val="318CE10A"/>
    <w:rsid w:val="319BB6C0"/>
    <w:rsid w:val="327C5221"/>
    <w:rsid w:val="32C67AC2"/>
    <w:rsid w:val="32EC9161"/>
    <w:rsid w:val="34203B9E"/>
    <w:rsid w:val="34463D5D"/>
    <w:rsid w:val="34479FE4"/>
    <w:rsid w:val="346F5E07"/>
    <w:rsid w:val="34817C52"/>
    <w:rsid w:val="349C3389"/>
    <w:rsid w:val="34F32E03"/>
    <w:rsid w:val="35FFD4C7"/>
    <w:rsid w:val="3612A795"/>
    <w:rsid w:val="3613B314"/>
    <w:rsid w:val="36885F8C"/>
    <w:rsid w:val="369CA451"/>
    <w:rsid w:val="36FE3BF2"/>
    <w:rsid w:val="37665AB9"/>
    <w:rsid w:val="37E2B85E"/>
    <w:rsid w:val="38471686"/>
    <w:rsid w:val="3853F29B"/>
    <w:rsid w:val="3868E5D8"/>
    <w:rsid w:val="38730A83"/>
    <w:rsid w:val="38AA6811"/>
    <w:rsid w:val="39268C54"/>
    <w:rsid w:val="395B7E65"/>
    <w:rsid w:val="3A365B75"/>
    <w:rsid w:val="3A4315AF"/>
    <w:rsid w:val="3A6A698C"/>
    <w:rsid w:val="3AB1D08F"/>
    <w:rsid w:val="3B496428"/>
    <w:rsid w:val="3B75F3EB"/>
    <w:rsid w:val="3B89DACD"/>
    <w:rsid w:val="3C03C213"/>
    <w:rsid w:val="3C6A5C33"/>
    <w:rsid w:val="3C6CA486"/>
    <w:rsid w:val="3C80615E"/>
    <w:rsid w:val="3C9CB257"/>
    <w:rsid w:val="3D3E34F0"/>
    <w:rsid w:val="3D4A0719"/>
    <w:rsid w:val="3DB2936F"/>
    <w:rsid w:val="3DCF4C14"/>
    <w:rsid w:val="3E5EA6C3"/>
    <w:rsid w:val="3EB7CE17"/>
    <w:rsid w:val="3EDC9FE4"/>
    <w:rsid w:val="3EF5CB60"/>
    <w:rsid w:val="3F1113E6"/>
    <w:rsid w:val="3F386030"/>
    <w:rsid w:val="3F3AFEEE"/>
    <w:rsid w:val="3F42D6A3"/>
    <w:rsid w:val="3F7C6146"/>
    <w:rsid w:val="3FAFA3B8"/>
    <w:rsid w:val="3FD5028B"/>
    <w:rsid w:val="4031A297"/>
    <w:rsid w:val="40A151D1"/>
    <w:rsid w:val="40A8F71A"/>
    <w:rsid w:val="40F31ED7"/>
    <w:rsid w:val="41010B9F"/>
    <w:rsid w:val="41656AD9"/>
    <w:rsid w:val="4168E671"/>
    <w:rsid w:val="4228DCE2"/>
    <w:rsid w:val="427BBE90"/>
    <w:rsid w:val="42DCCEE9"/>
    <w:rsid w:val="43BFC4CF"/>
    <w:rsid w:val="43D611E4"/>
    <w:rsid w:val="43F4BAA5"/>
    <w:rsid w:val="44365427"/>
    <w:rsid w:val="445927AB"/>
    <w:rsid w:val="44D0AD58"/>
    <w:rsid w:val="44D83AAA"/>
    <w:rsid w:val="45404EFD"/>
    <w:rsid w:val="45648A08"/>
    <w:rsid w:val="45C9436F"/>
    <w:rsid w:val="45E767F7"/>
    <w:rsid w:val="45EB7FCF"/>
    <w:rsid w:val="465F229C"/>
    <w:rsid w:val="46A0ED93"/>
    <w:rsid w:val="46B9C753"/>
    <w:rsid w:val="4820EC2C"/>
    <w:rsid w:val="4821B7E3"/>
    <w:rsid w:val="488238D1"/>
    <w:rsid w:val="48C0A1B8"/>
    <w:rsid w:val="48CBFAF6"/>
    <w:rsid w:val="49947C43"/>
    <w:rsid w:val="49F9AA4F"/>
    <w:rsid w:val="4A063334"/>
    <w:rsid w:val="4A18AF77"/>
    <w:rsid w:val="4A495AD7"/>
    <w:rsid w:val="4A5D9E34"/>
    <w:rsid w:val="4B47C09A"/>
    <w:rsid w:val="4BBD7D62"/>
    <w:rsid w:val="4BEA271A"/>
    <w:rsid w:val="4C1D5E19"/>
    <w:rsid w:val="4C6A10D5"/>
    <w:rsid w:val="4C6B4C2D"/>
    <w:rsid w:val="4D606EEF"/>
    <w:rsid w:val="4F79CE4F"/>
    <w:rsid w:val="4F80E092"/>
    <w:rsid w:val="4FE590F0"/>
    <w:rsid w:val="50530F8B"/>
    <w:rsid w:val="50633BF2"/>
    <w:rsid w:val="509B4CA0"/>
    <w:rsid w:val="50DC13E9"/>
    <w:rsid w:val="512E2577"/>
    <w:rsid w:val="513FC394"/>
    <w:rsid w:val="51600DEB"/>
    <w:rsid w:val="5163B568"/>
    <w:rsid w:val="517168A0"/>
    <w:rsid w:val="51B5EBA3"/>
    <w:rsid w:val="5214E458"/>
    <w:rsid w:val="522D452A"/>
    <w:rsid w:val="52E89EB7"/>
    <w:rsid w:val="532C5524"/>
    <w:rsid w:val="53CE0626"/>
    <w:rsid w:val="5427178F"/>
    <w:rsid w:val="5440BB24"/>
    <w:rsid w:val="54991DCC"/>
    <w:rsid w:val="549C0E3C"/>
    <w:rsid w:val="54C36DD6"/>
    <w:rsid w:val="54C84D0D"/>
    <w:rsid w:val="54EF0AEA"/>
    <w:rsid w:val="54F073E8"/>
    <w:rsid w:val="5649387A"/>
    <w:rsid w:val="56AF673E"/>
    <w:rsid w:val="587946BC"/>
    <w:rsid w:val="593E99DC"/>
    <w:rsid w:val="594D2EE8"/>
    <w:rsid w:val="59681783"/>
    <w:rsid w:val="5BA5A20B"/>
    <w:rsid w:val="5CA0D4DB"/>
    <w:rsid w:val="5CD1895D"/>
    <w:rsid w:val="5D26A402"/>
    <w:rsid w:val="5E168587"/>
    <w:rsid w:val="5F415E08"/>
    <w:rsid w:val="5F6DBC8E"/>
    <w:rsid w:val="5FE891B9"/>
    <w:rsid w:val="6026934E"/>
    <w:rsid w:val="602EE293"/>
    <w:rsid w:val="60A6F923"/>
    <w:rsid w:val="61479FB2"/>
    <w:rsid w:val="619CE282"/>
    <w:rsid w:val="61CE348C"/>
    <w:rsid w:val="61DACF0B"/>
    <w:rsid w:val="61DDF647"/>
    <w:rsid w:val="61F7E119"/>
    <w:rsid w:val="624784F1"/>
    <w:rsid w:val="625C5842"/>
    <w:rsid w:val="63640388"/>
    <w:rsid w:val="64679B9A"/>
    <w:rsid w:val="64810661"/>
    <w:rsid w:val="6497AF33"/>
    <w:rsid w:val="64CC1906"/>
    <w:rsid w:val="6545509A"/>
    <w:rsid w:val="658588F0"/>
    <w:rsid w:val="67605A85"/>
    <w:rsid w:val="678F4992"/>
    <w:rsid w:val="67A0CA69"/>
    <w:rsid w:val="67D116AA"/>
    <w:rsid w:val="6846190B"/>
    <w:rsid w:val="688B5FCA"/>
    <w:rsid w:val="69EC80F4"/>
    <w:rsid w:val="6A18C4D7"/>
    <w:rsid w:val="6A47C3F9"/>
    <w:rsid w:val="6AA7364A"/>
    <w:rsid w:val="6B2D98E4"/>
    <w:rsid w:val="6C8AC419"/>
    <w:rsid w:val="6CC5B75C"/>
    <w:rsid w:val="6CD1A35F"/>
    <w:rsid w:val="6D3D0866"/>
    <w:rsid w:val="6E3CDDF6"/>
    <w:rsid w:val="6EBC8E4C"/>
    <w:rsid w:val="6F4B7380"/>
    <w:rsid w:val="6F5A2E3A"/>
    <w:rsid w:val="6FB3FC88"/>
    <w:rsid w:val="703270AE"/>
    <w:rsid w:val="703ADC63"/>
    <w:rsid w:val="705F0245"/>
    <w:rsid w:val="706C8F2B"/>
    <w:rsid w:val="71206B23"/>
    <w:rsid w:val="715E84E3"/>
    <w:rsid w:val="71748ADA"/>
    <w:rsid w:val="719D2067"/>
    <w:rsid w:val="71ABBACF"/>
    <w:rsid w:val="721C2C4F"/>
    <w:rsid w:val="72389F8B"/>
    <w:rsid w:val="72482378"/>
    <w:rsid w:val="724CB4D5"/>
    <w:rsid w:val="729D34BD"/>
    <w:rsid w:val="72CBB49C"/>
    <w:rsid w:val="732E678E"/>
    <w:rsid w:val="7385EFB3"/>
    <w:rsid w:val="73907F82"/>
    <w:rsid w:val="74E98F55"/>
    <w:rsid w:val="755761E7"/>
    <w:rsid w:val="7562856D"/>
    <w:rsid w:val="75CD1394"/>
    <w:rsid w:val="76F5EFC7"/>
    <w:rsid w:val="772862E6"/>
    <w:rsid w:val="776B1225"/>
    <w:rsid w:val="7785E949"/>
    <w:rsid w:val="77B943DF"/>
    <w:rsid w:val="78488CE3"/>
    <w:rsid w:val="784F5523"/>
    <w:rsid w:val="78A425F2"/>
    <w:rsid w:val="78E172FC"/>
    <w:rsid w:val="7939B5C8"/>
    <w:rsid w:val="798C05D2"/>
    <w:rsid w:val="79950787"/>
    <w:rsid w:val="79C0CCBB"/>
    <w:rsid w:val="79C71C90"/>
    <w:rsid w:val="79DCBDC9"/>
    <w:rsid w:val="7A1699F2"/>
    <w:rsid w:val="7A2F3C88"/>
    <w:rsid w:val="7A8B6BFA"/>
    <w:rsid w:val="7AA4ABC8"/>
    <w:rsid w:val="7AB02500"/>
    <w:rsid w:val="7B327CC7"/>
    <w:rsid w:val="7B4FD102"/>
    <w:rsid w:val="7BADFCED"/>
    <w:rsid w:val="7C319C7D"/>
    <w:rsid w:val="7C463758"/>
    <w:rsid w:val="7C8086B9"/>
    <w:rsid w:val="7CCEAE2B"/>
    <w:rsid w:val="7CE85E95"/>
    <w:rsid w:val="7D247445"/>
    <w:rsid w:val="7D352052"/>
    <w:rsid w:val="7DA2DF61"/>
    <w:rsid w:val="7DAEC7C4"/>
    <w:rsid w:val="7DB7FBEF"/>
    <w:rsid w:val="7DC0C90D"/>
    <w:rsid w:val="7DD5F2E9"/>
    <w:rsid w:val="7E1E4D17"/>
    <w:rsid w:val="7E952772"/>
    <w:rsid w:val="7EAA0CB6"/>
    <w:rsid w:val="7EC16416"/>
    <w:rsid w:val="7FE5F7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112D0661"/>
  <w15:chartTrackingRefBased/>
  <w15:docId w15:val="{C9EC5981-9BB2-4C21-8A54-9EAB8B96C6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F721A"/>
    <w:pPr>
      <w:spacing w:after="0" w:line="240" w:lineRule="auto"/>
      <w:jc w:val="both"/>
    </w:pPr>
    <w:rPr>
      <w:rFonts w:ascii="Roboto" w:eastAsia="Roboto" w:hAnsi="Roboto" w:cs="Roboto"/>
      <w:color w:val="46484D"/>
      <w:kern w:val="0"/>
      <w:sz w:val="23"/>
      <w:szCs w:val="23"/>
      <w:lang w:val="es" w:eastAsia="ja-JP"/>
      <w14:ligatures w14:val="none"/>
    </w:rPr>
  </w:style>
  <w:style w:type="paragraph" w:styleId="Ttulo1">
    <w:name w:val="heading 1"/>
    <w:basedOn w:val="Normal"/>
    <w:next w:val="Normal"/>
    <w:uiPriority w:val="9"/>
    <w:qFormat/>
    <w:rsid w:val="7A1699F2"/>
    <w:pPr>
      <w:keepNext/>
      <w:keepLines/>
      <w:spacing w:before="360" w:after="80"/>
      <w:outlineLvl w:val="0"/>
    </w:pPr>
    <w:rPr>
      <w:rFonts w:asciiTheme="majorHAnsi" w:eastAsiaTheme="minorEastAsia" w:hAnsiTheme="majorHAnsi" w:cstheme="majorEastAsia"/>
      <w:color w:val="003059" w:themeColor="accent2"/>
      <w:sz w:val="40"/>
      <w:szCs w:val="40"/>
      <w:lang w:val="es-ES"/>
    </w:rPr>
  </w:style>
  <w:style w:type="paragraph" w:styleId="Ttulo2">
    <w:name w:val="heading 2"/>
    <w:basedOn w:val="Normal"/>
    <w:next w:val="Normal"/>
    <w:uiPriority w:val="9"/>
    <w:unhideWhenUsed/>
    <w:qFormat/>
    <w:rsid w:val="1509D2D9"/>
    <w:pPr>
      <w:keepNext/>
      <w:keepLines/>
      <w:spacing w:before="160" w:after="80"/>
      <w:outlineLvl w:val="1"/>
    </w:pPr>
    <w:rPr>
      <w:rFonts w:asciiTheme="majorHAnsi" w:eastAsiaTheme="minorEastAsia" w:hAnsiTheme="majorHAnsi" w:cstheme="majorEastAsia"/>
      <w:color w:val="47E7E7" w:themeColor="accent1" w:themeShade="BF"/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7C4B1C"/>
    <w:pPr>
      <w:tabs>
        <w:tab w:val="center" w:pos="4680"/>
        <w:tab w:val="right" w:pos="9360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7C4B1C"/>
  </w:style>
  <w:style w:type="paragraph" w:styleId="Piedepgina">
    <w:name w:val="footer"/>
    <w:basedOn w:val="Normal"/>
    <w:link w:val="PiedepginaCar"/>
    <w:uiPriority w:val="99"/>
    <w:unhideWhenUsed/>
    <w:rsid w:val="007C4B1C"/>
    <w:pPr>
      <w:tabs>
        <w:tab w:val="center" w:pos="4680"/>
        <w:tab w:val="right" w:pos="9360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7C4B1C"/>
  </w:style>
  <w:style w:type="paragraph" w:styleId="TDC1">
    <w:name w:val="toc 1"/>
    <w:basedOn w:val="Normal"/>
    <w:next w:val="Normal"/>
    <w:uiPriority w:val="39"/>
    <w:unhideWhenUsed/>
    <w:rsid w:val="7A1699F2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7A1699F2"/>
    <w:rPr>
      <w:color w:val="00EDED" w:themeColor="accent3"/>
      <w:u w:val="single"/>
    </w:rPr>
  </w:style>
  <w:style w:type="paragraph" w:styleId="Prrafodelista">
    <w:name w:val="List Paragraph"/>
    <w:basedOn w:val="Normal"/>
    <w:uiPriority w:val="34"/>
    <w:qFormat/>
    <w:rsid w:val="1509D2D9"/>
    <w:pPr>
      <w:ind w:left="720"/>
      <w:contextualSpacing/>
    </w:pPr>
  </w:style>
  <w:style w:type="paragraph" w:styleId="TDC2">
    <w:name w:val="toc 2"/>
    <w:basedOn w:val="Normal"/>
    <w:next w:val="Normal"/>
    <w:uiPriority w:val="39"/>
    <w:unhideWhenUsed/>
    <w:rsid w:val="1509D2D9"/>
    <w:pPr>
      <w:spacing w:after="100"/>
      <w:ind w:left="220"/>
    </w:pPr>
  </w:style>
  <w:style w:type="table" w:styleId="Tablaconcuadrcula">
    <w:name w:val="Table Grid"/>
    <w:basedOn w:val="Tablanormal"/>
    <w:uiPriority w:val="59"/>
    <w:rsid w:val="00FB4123"/>
    <w:pPr>
      <w:spacing w:after="0" w:line="240" w:lineRule="auto"/>
    </w:pPr>
    <w:tblPr>
      <w:tblBorders>
        <w:top w:val="single" w:sz="4" w:space="0" w:color="FFFFFF" w:themeColor="text1"/>
        <w:left w:val="single" w:sz="4" w:space="0" w:color="FFFFFF" w:themeColor="text1"/>
        <w:bottom w:val="single" w:sz="4" w:space="0" w:color="FFFFFF" w:themeColor="text1"/>
        <w:right w:val="single" w:sz="4" w:space="0" w:color="FFFFFF" w:themeColor="text1"/>
        <w:insideH w:val="single" w:sz="4" w:space="0" w:color="FFFFFF" w:themeColor="text1"/>
        <w:insideV w:val="single" w:sz="4" w:space="0" w:color="FFFFFF" w:themeColor="text1"/>
      </w:tblBorders>
    </w:tblPr>
  </w:style>
  <w:style w:type="paragraph" w:styleId="TtuloTDC">
    <w:name w:val="TOC Heading"/>
    <w:basedOn w:val="Ttulo1"/>
    <w:next w:val="Normal"/>
    <w:uiPriority w:val="39"/>
    <w:unhideWhenUsed/>
    <w:qFormat/>
    <w:rsid w:val="00274E36"/>
    <w:pPr>
      <w:spacing w:before="240" w:after="0"/>
      <w:outlineLvl w:val="9"/>
    </w:pPr>
    <w:rPr>
      <w:rFonts w:eastAsiaTheme="majorEastAsia" w:cstheme="majorBidi"/>
      <w:color w:val="47E7E7" w:themeColor="accent1" w:themeShade="BF"/>
      <w:sz w:val="32"/>
      <w:szCs w:val="32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microsoft.com/office/2020/10/relationships/intelligence" Target="intelligence2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Relationship Id="rId16" Type="http://schemas.openxmlformats.org/officeDocument/2006/relationships/image" Target="media/image3.png"/><Relationship Id="rId17" Type="http://schemas.openxmlformats.org/officeDocument/2006/relationships/image" Target="media/image4.png"/><Relationship Id="rId18" Type="http://schemas.openxmlformats.org/officeDocument/2006/relationships/image" Target="media/image5.png"/><Relationship Id="rId19" Type="http://schemas.openxmlformats.org/officeDocument/2006/relationships/image" Target="media/image6.png"/><Relationship Id="rId20" Type="http://schemas.openxmlformats.org/officeDocument/2006/relationships/image" Target="media/image7.png"/><Relationship Id="rId21" Type="http://schemas.openxmlformats.org/officeDocument/2006/relationships/image" Target="media/image8.png"/><Relationship Id="rId22" Type="http://schemas.openxmlformats.org/officeDocument/2006/relationships/image" Target="media/image9.png"/><Relationship Id="rId23" Type="http://schemas.openxmlformats.org/officeDocument/2006/relationships/image" Target="media/image10.png"/><Relationship Id="rId24" Type="http://schemas.openxmlformats.org/officeDocument/2006/relationships/image" Target="media/image11.png"/><Relationship Id="rId25" Type="http://schemas.openxmlformats.org/officeDocument/2006/relationships/image" Target="media/image12.png"/><Relationship Id="rId26" Type="http://schemas.openxmlformats.org/officeDocument/2006/relationships/image" Target="media/image13.png"/><Relationship Id="rId27" Type="http://schemas.openxmlformats.org/officeDocument/2006/relationships/image" Target="media/image14.png"/><Relationship Id="rId28" Type="http://schemas.openxmlformats.org/officeDocument/2006/relationships/image" Target="media/image15.png"/><Relationship Id="rId29" Type="http://schemas.openxmlformats.org/officeDocument/2006/relationships/image" Target="media/image16.png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https://wgcp.sharepoint.com/sites/Assets/Blend%20Document%20Templates/Blend%20Letterhead%201.dotx" TargetMode="External"/></Relationships>
</file>

<file path=word/theme/theme1.xml><?xml version="1.0" encoding="utf-8"?>
<a:theme xmlns:a="http://schemas.openxmlformats.org/drawingml/2006/main" name="Office Theme">
  <a:themeElements>
    <a:clrScheme name="Blend360">
      <a:dk1>
        <a:srgbClr val="FFFFFF"/>
      </a:dk1>
      <a:lt1>
        <a:srgbClr val="1A1A1A"/>
      </a:lt1>
      <a:dk2>
        <a:srgbClr val="F3F3F0"/>
      </a:dk2>
      <a:lt2>
        <a:srgbClr val="FFFFFF"/>
      </a:lt2>
      <a:accent1>
        <a:srgbClr val="A2F3F3"/>
      </a:accent1>
      <a:accent2>
        <a:srgbClr val="003059"/>
      </a:accent2>
      <a:accent3>
        <a:srgbClr val="00EDED"/>
      </a:accent3>
      <a:accent4>
        <a:srgbClr val="304550"/>
      </a:accent4>
      <a:accent5>
        <a:srgbClr val="1A1A1A"/>
      </a:accent5>
      <a:accent6>
        <a:srgbClr val="0B0D0E"/>
      </a:accent6>
      <a:hlink>
        <a:srgbClr val="00EDED"/>
      </a:hlink>
      <a:folHlink>
        <a:srgbClr val="954F72"/>
      </a:folHlink>
    </a:clrScheme>
    <a:fontScheme name="Custom 2">
      <a:majorFont>
        <a:latin typeface="Montserrat Black"/>
        <a:ea typeface=""/>
        <a:cs typeface=""/>
      </a:majorFont>
      <a:minorFont>
        <a:latin typeface="Montserrat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b51ed564-f2f8-468f-a388-e07184f1c0a6" xsi:nil="true"/>
    <lcf76f155ced4ddcb4097134ff3c332f xmlns="275c1206-a37b-4f22-88c9-a3db5fceade2">
      <Terms xmlns="http://schemas.microsoft.com/office/infopath/2007/PartnerControls"/>
    </lcf76f155ced4ddcb4097134ff3c332f>
    <MigrationSourceID xmlns="b51ed564-f2f8-468f-a388-e07184f1c0a6" xsi:nil="true"/>
    <Metadata xmlns="275c1206-a37b-4f22-88c9-a3db5fceade2" xsi:nil="true"/>
    <Tag xmlns="275c1206-a37b-4f22-88c9-a3db5fceade2" xsi:nil="true"/>
    <Ubicaci_x00f3_n xmlns="275c1206-a37b-4f22-88c9-a3db5fceade2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287321ADF990554C99469D38E0963953" ma:contentTypeVersion="25" ma:contentTypeDescription="Crear nuevo documento." ma:contentTypeScope="" ma:versionID="0ff0edb78055d15912fe15121f4b413d">
  <xsd:schema xmlns:xsd="http://www.w3.org/2001/XMLSchema" xmlns:xs="http://www.w3.org/2001/XMLSchema" xmlns:p="http://schemas.microsoft.com/office/2006/metadata/properties" xmlns:ns2="b51ed564-f2f8-468f-a388-e07184f1c0a6" xmlns:ns3="275c1206-a37b-4f22-88c9-a3db5fceade2" targetNamespace="http://schemas.microsoft.com/office/2006/metadata/properties" ma:root="true" ma:fieldsID="743cecb10e542df0136df2da7abf08e9" ns2:_="" ns3:_="">
    <xsd:import namespace="b51ed564-f2f8-468f-a388-e07184f1c0a6"/>
    <xsd:import namespace="275c1206-a37b-4f22-88c9-a3db5fceade2"/>
    <xsd:element name="properties">
      <xsd:complexType>
        <xsd:sequence>
          <xsd:element name="documentManagement">
            <xsd:complexType>
              <xsd:all>
                <xsd:element ref="ns2:MigrationSourceID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Location" minOccurs="0"/>
                <xsd:element ref="ns3:MediaServiceOCR" minOccurs="0"/>
                <xsd:element ref="ns3:MediaServiceBillingMetadata" minOccurs="0"/>
                <xsd:element ref="ns3:Metadata" minOccurs="0"/>
                <xsd:element ref="ns3:Tag" minOccurs="0"/>
                <xsd:element ref="ns3:Ubicaci_x00f3_n" minOccurs="0"/>
                <xsd:element ref="ns3:CountryOrRegion53c39da0-bc53-4b02-8835-da9416d103ee" minOccurs="0"/>
                <xsd:element ref="ns3:State53c39da0-bc53-4b02-8835-da9416d103ee" minOccurs="0"/>
                <xsd:element ref="ns3:City53c39da0-bc53-4b02-8835-da9416d103ee" minOccurs="0"/>
                <xsd:element ref="ns3:PostalCode53c39da0-bc53-4b02-8835-da9416d103ee" minOccurs="0"/>
                <xsd:element ref="ns3:Street53c39da0-bc53-4b02-8835-da9416d103ee" minOccurs="0"/>
                <xsd:element ref="ns3:GeoLoc53c39da0-bc53-4b02-8835-da9416d103ee" minOccurs="0"/>
                <xsd:element ref="ns3:DispName53c39da0-bc53-4b02-8835-da9416d103e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51ed564-f2f8-468f-a388-e07184f1c0a6" elementFormDefault="qualified">
    <xsd:import namespace="http://schemas.microsoft.com/office/2006/documentManagement/types"/>
    <xsd:import namespace="http://schemas.microsoft.com/office/infopath/2007/PartnerControls"/>
    <xsd:element name="MigrationSourceID" ma:index="8" nillable="true" ma:displayName="MigrationSourceID" ma:internalName="MigrationSourceID" ma:readOnly="true">
      <xsd:simpleType>
        <xsd:restriction base="dms:Text"/>
      </xsd:simpleType>
    </xsd:element>
    <xsd:element name="TaxCatchAll" ma:index="19" nillable="true" ma:displayName="Taxonomy Catch All Column" ma:hidden="true" ma:list="{cf34abfc-444c-4adb-8fbc-9657ba37fabe}" ma:internalName="TaxCatchAll" ma:showField="CatchAllData" ma:web="b51ed564-f2f8-468f-a388-e07184f1c0a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75c1206-a37b-4f22-88c9-a3db5fceade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8" nillable="true" ma:taxonomy="true" ma:internalName="lcf76f155ced4ddcb4097134ff3c332f" ma:taxonomyFieldName="MediaServiceImageTags" ma:displayName="Etiquetas de imagen" ma:readOnly="false" ma:fieldId="{5cf76f15-5ced-4ddc-b409-7134ff3c332f}" ma:taxonomyMulti="true" ma:sspId="12b4ba89-8ace-419e-814f-6a2e402f621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BillingMetadata" ma:index="22" nillable="true" ma:displayName="MediaServiceBillingMetadata" ma:hidden="true" ma:internalName="MediaServiceBillingMetadata" ma:readOnly="true">
      <xsd:simpleType>
        <xsd:restriction base="dms:Note"/>
      </xsd:simpleType>
    </xsd:element>
    <xsd:element name="Metadata" ma:index="23" nillable="true" ma:displayName="Metadata" ma:description="incluirar el nombre del documento de acuerdo a la estructura " ma:format="Dropdown" ma:internalName="Metadata">
      <xsd:simpleType>
        <xsd:restriction base="dms:Text">
          <xsd:maxLength value="255"/>
        </xsd:restriction>
      </xsd:simpleType>
    </xsd:element>
    <xsd:element name="Tag" ma:index="24" nillable="true" ma:displayName="Tag" ma:description="numeracion de referencia" ma:format="Dropdown" ma:internalName="Tag">
      <xsd:simpleType>
        <xsd:restriction base="dms:Text">
          <xsd:maxLength value="255"/>
        </xsd:restriction>
      </xsd:simpleType>
    </xsd:element>
    <xsd:element name="Ubicaci_x00f3_n" ma:index="25" nillable="true" ma:displayName="Ubicación" ma:format="Dropdown" ma:internalName="Ubicaci_x00f3_n">
      <xsd:simpleType>
        <xsd:restriction base="dms:Unknown"/>
      </xsd:simpleType>
    </xsd:element>
    <xsd:element name="CountryOrRegion53c39da0-bc53-4b02-8835-da9416d103ee" ma:index="26" nillable="true" ma:displayName="Ubicación: País o región" ma:internalName="CountryOrRegion" ma:readOnly="true">
      <xsd:simpleType>
        <xsd:restriction base="dms:Text"/>
      </xsd:simpleType>
    </xsd:element>
    <xsd:element name="State53c39da0-bc53-4b02-8835-da9416d103ee" ma:index="27" nillable="true" ma:displayName="Ubicación: estado" ma:internalName="State" ma:readOnly="true">
      <xsd:simpleType>
        <xsd:restriction base="dms:Text"/>
      </xsd:simpleType>
    </xsd:element>
    <xsd:element name="City53c39da0-bc53-4b02-8835-da9416d103ee" ma:index="28" nillable="true" ma:displayName="Ubicación: ciudad" ma:internalName="City" ma:readOnly="true">
      <xsd:simpleType>
        <xsd:restriction base="dms:Text"/>
      </xsd:simpleType>
    </xsd:element>
    <xsd:element name="PostalCode53c39da0-bc53-4b02-8835-da9416d103ee" ma:index="29" nillable="true" ma:displayName="Ubicación: Código postal" ma:internalName="PostalCode" ma:readOnly="true">
      <xsd:simpleType>
        <xsd:restriction base="dms:Text"/>
      </xsd:simpleType>
    </xsd:element>
    <xsd:element name="Street53c39da0-bc53-4b02-8835-da9416d103ee" ma:index="30" nillable="true" ma:displayName="Ubicación: calle" ma:internalName="Street" ma:readOnly="true">
      <xsd:simpleType>
        <xsd:restriction base="dms:Text"/>
      </xsd:simpleType>
    </xsd:element>
    <xsd:element name="GeoLoc53c39da0-bc53-4b02-8835-da9416d103ee" ma:index="31" nillable="true" ma:displayName="Ubicación: coordenadas" ma:internalName="GeoLoc" ma:readOnly="true">
      <xsd:simpleType>
        <xsd:restriction base="dms:Unknown"/>
      </xsd:simpleType>
    </xsd:element>
    <xsd:element name="DispName53c39da0-bc53-4b02-8835-da9416d103ee" ma:index="32" nillable="true" ma:displayName="Ubicación: nombre" ma:internalName="DispNam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DAD0959-764E-4B4E-950A-C2654C3487A1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6CF4775B-9016-442E-9CA2-081DDD36C08D}">
  <ds:schemaRefs>
    <ds:schemaRef ds:uri="http://schemas.microsoft.com/office/2006/metadata/properties"/>
    <ds:schemaRef ds:uri="http://schemas.microsoft.com/office/infopath/2007/PartnerControls"/>
    <ds:schemaRef ds:uri="b51ed564-f2f8-468f-a388-e07184f1c0a6"/>
    <ds:schemaRef ds:uri="275c1206-a37b-4f22-88c9-a3db5fceade2"/>
  </ds:schemaRefs>
</ds:datastoreItem>
</file>

<file path=customXml/itemProps3.xml><?xml version="1.0" encoding="utf-8"?>
<ds:datastoreItem xmlns:ds="http://schemas.openxmlformats.org/officeDocument/2006/customXml" ds:itemID="{1EE02CE1-AC3F-4FF5-B7BE-AC8DED322CC5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3649D1ED-40DD-4FF9-9622-99FDEDE6C87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51ed564-f2f8-468f-a388-e07184f1c0a6"/>
    <ds:schemaRef ds:uri="275c1206-a37b-4f22-88c9-a3db5fceade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Blend%20Letterhead%201</Template>
  <TotalTime>2</TotalTime>
  <Pages>2</Pages>
  <Words>108</Words>
  <Characters>596</Characters>
  <Application>Microsoft Office Word</Application>
  <DocSecurity>0</DocSecurity>
  <Lines>4</Lines>
  <Paragraphs>1</Paragraphs>
  <ScaleCrop>false</ScaleCrop>
  <Company/>
  <LinksUpToDate>false</LinksUpToDate>
  <CharactersWithSpaces>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Yidaido Rojas</dc:creator>
  <cp:keywords/>
  <dc:description/>
  <cp:lastModifiedBy>Alejandra Ardila</cp:lastModifiedBy>
  <cp:revision>3</cp:revision>
  <dcterms:created xsi:type="dcterms:W3CDTF">2026-04-14T15:20:00Z</dcterms:created>
  <dcterms:modified xsi:type="dcterms:W3CDTF">2026-04-17T19:50:00Z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0x010100287321ADF990554C99469D38E0963953</vt:lpwstr>
  </property>
  <property fmtid="{D5CDD505-2E9C-101B-9397-08002B2CF9AE}" pid="3" name="MediaServiceImageTags">
    <vt:lpwstr/>
  </property>
  <property fmtid="{D5CDD505-2E9C-101B-9397-08002B2CF9AE}" pid="4" name="xd_ProgID">
    <vt:lpwstr/>
  </property>
  <property fmtid="{D5CDD505-2E9C-101B-9397-08002B2CF9AE}" pid="5" name="ComplianceAssetId">
    <vt:lpwstr/>
  </property>
  <property fmtid="{D5CDD505-2E9C-101B-9397-08002B2CF9AE}" pid="6" name="TemplateUrl">
    <vt:lpwstr/>
  </property>
  <property fmtid="{D5CDD505-2E9C-101B-9397-08002B2CF9AE}" pid="7" name="_ExtendedDescription">
    <vt:lpwstr/>
  </property>
  <property fmtid="{D5CDD505-2E9C-101B-9397-08002B2CF9AE}" pid="8" name="TriggerFlowInfo">
    <vt:lpwstr/>
  </property>
  <property fmtid="{D5CDD505-2E9C-101B-9397-08002B2CF9AE}" pid="9" name="xd_Signature">
    <vt:bool>false</vt:bool>
  </property>
  <property fmtid="{D5CDD505-2E9C-101B-9397-08002B2CF9AE}" pid="10" name="_SourceUrl">
    <vt:lpwstr/>
  </property>
  <property fmtid="{D5CDD505-2E9C-101B-9397-08002B2CF9AE}" pid="11" name="_SharedFileIndex">
    <vt:lpwstr/>
  </property>
</Properties>
</file>