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D7B40" w14:textId="27278B80" w:rsidR="7A1699F2" w:rsidRPr="00C12884" w:rsidRDefault="7A1699F2" w:rsidP="36885F8C">
      <w:pPr>
        <w:rPr>
          <w:rFonts w:asciiTheme="minorHAnsi" w:hAnsiTheme="minorHAnsi"/>
          <w:color w:val="002F59"/>
          <w:sz w:val="24"/>
          <w:szCs w:val="24"/>
          <w:lang w:val="es-ES"/>
        </w:rPr>
      </w:pPr>
    </w:p>
    <w:p w14:paraId="5951E329" w14:textId="210A5063" w:rsidR="36885F8C" w:rsidRDefault="36885F8C" w:rsidP="36885F8C">
      <w:pPr>
        <w:rPr>
          <w:rFonts w:asciiTheme="minorHAnsi" w:hAnsiTheme="minorHAnsi"/>
          <w:color w:val="002F59"/>
          <w:sz w:val="24"/>
          <w:szCs w:val="24"/>
          <w:lang w:val="es-ES"/>
        </w:rPr>
      </w:pPr>
    </w:p>
    <w:p w14:paraId="5DEFBD35" w14:textId="77777777" w:rsidR="00021B06" w:rsidRPr="000D0130" w:rsidRDefault="00021B06" w:rsidP="000D0130">
      <w:pPr>
        <w:rPr>
          <w:rFonts w:asciiTheme="minorHAnsi" w:hAnsiTheme="minorHAnsi"/>
          <w:color w:val="002F59"/>
          <w:sz w:val="24"/>
          <w:szCs w:val="24"/>
          <w:lang w:val="es-ES"/>
        </w:rPr>
      </w:pPr>
    </w:p>
    <w:p w14:paraId="513A7BA9" w14:textId="77777777" w:rsidR="00021B06" w:rsidRPr="000D0130" w:rsidRDefault="00021B06" w:rsidP="000D0130">
      <w:pPr>
        <w:rPr>
          <w:rFonts w:asciiTheme="minorHAnsi" w:hAnsiTheme="minorHAnsi"/>
          <w:color w:val="002F59"/>
          <w:sz w:val="24"/>
          <w:szCs w:val="24"/>
          <w:lang w:val="es-ES"/>
        </w:rPr>
      </w:pPr>
    </w:p>
    <w:p w14:paraId="4BA6E154" w14:textId="77777777" w:rsidR="00021B06" w:rsidRPr="000D0130" w:rsidRDefault="00021B06" w:rsidP="000D0130">
      <w:pPr>
        <w:rPr>
          <w:rFonts w:asciiTheme="minorHAnsi" w:hAnsiTheme="minorHAnsi"/>
          <w:color w:val="002F59"/>
          <w:sz w:val="24"/>
          <w:szCs w:val="24"/>
          <w:lang w:val="es-ES"/>
        </w:rPr>
      </w:pPr>
    </w:p>
    <w:p w14:paraId="5C1F32AC" w14:textId="77777777" w:rsidR="00021B06" w:rsidRPr="000D0130" w:rsidRDefault="00021B06" w:rsidP="000D0130">
      <w:pPr>
        <w:rPr>
          <w:rFonts w:asciiTheme="minorHAnsi" w:hAnsiTheme="minorHAnsi"/>
          <w:color w:val="002F59"/>
          <w:sz w:val="24"/>
          <w:szCs w:val="24"/>
          <w:lang w:val="es-ES"/>
        </w:rPr>
      </w:pPr>
    </w:p>
    <w:p w14:paraId="33E7E48D" w14:textId="77777777" w:rsidR="00021B06" w:rsidRPr="000D0130" w:rsidRDefault="00021B06" w:rsidP="000D0130">
      <w:pPr>
        <w:rPr>
          <w:rFonts w:asciiTheme="minorHAnsi" w:hAnsiTheme="minorHAnsi"/>
          <w:color w:val="002F59"/>
          <w:sz w:val="24"/>
          <w:szCs w:val="24"/>
          <w:lang w:val="es-ES"/>
        </w:rPr>
      </w:pPr>
    </w:p>
    <w:p w14:paraId="0E6374C7" w14:textId="77777777" w:rsidR="00021B06" w:rsidRPr="000D0130" w:rsidRDefault="00021B06" w:rsidP="00021B06">
      <w:pPr>
        <w:rPr>
          <w:rFonts w:asciiTheme="minorHAnsi" w:hAnsiTheme="minorHAnsi"/>
          <w:color w:val="002F59"/>
          <w:sz w:val="24"/>
          <w:szCs w:val="24"/>
          <w:lang w:val="es-ES"/>
        </w:rPr>
      </w:pPr>
    </w:p>
    <w:p w14:paraId="1883AE31" w14:textId="77777777" w:rsidR="00021B06" w:rsidRPr="000D0130" w:rsidRDefault="00021B06" w:rsidP="00021B06">
      <w:pPr>
        <w:rPr>
          <w:rFonts w:asciiTheme="minorHAnsi" w:hAnsiTheme="minorHAnsi"/>
          <w:color w:val="002F59"/>
          <w:sz w:val="24"/>
          <w:szCs w:val="24"/>
          <w:lang w:val="es-ES"/>
        </w:rPr>
      </w:pPr>
    </w:p>
    <w:p w14:paraId="0EBE549D" w14:textId="77777777" w:rsidR="00021B06" w:rsidRPr="000D0130" w:rsidRDefault="00021B06" w:rsidP="00021B06">
      <w:pPr>
        <w:rPr>
          <w:rFonts w:asciiTheme="minorHAnsi" w:hAnsiTheme="minorHAnsi"/>
          <w:color w:val="002F59"/>
          <w:sz w:val="24"/>
          <w:szCs w:val="24"/>
          <w:lang w:val="es-ES"/>
        </w:rPr>
      </w:pPr>
    </w:p>
    <w:p w14:paraId="36C0B11A" w14:textId="77777777" w:rsidR="00021B06" w:rsidRDefault="00021B06" w:rsidP="00021B06">
      <w:pPr>
        <w:rPr>
          <w:rFonts w:asciiTheme="minorHAnsi" w:hAnsiTheme="minorHAnsi"/>
          <w:color w:val="002F59"/>
          <w:sz w:val="24"/>
          <w:szCs w:val="24"/>
          <w:lang w:val="es-ES"/>
        </w:rPr>
      </w:pPr>
    </w:p>
    <w:p w14:paraId="6E8F1EA5" w14:textId="77777777" w:rsidR="007F6845" w:rsidRDefault="007F6845" w:rsidP="00021B06">
      <w:pPr>
        <w:rPr>
          <w:rFonts w:asciiTheme="minorHAnsi" w:hAnsiTheme="minorHAnsi"/>
          <w:color w:val="002F59"/>
          <w:sz w:val="24"/>
          <w:szCs w:val="24"/>
          <w:lang w:val="es-ES"/>
        </w:rPr>
      </w:pPr>
    </w:p>
    <w:p w14:paraId="67E51FD8" w14:textId="77777777" w:rsidR="007F6845" w:rsidRPr="000D0130" w:rsidRDefault="007F6845" w:rsidP="00021B06">
      <w:pPr>
        <w:rPr>
          <w:rFonts w:asciiTheme="minorHAnsi" w:hAnsiTheme="minorHAnsi"/>
          <w:color w:val="002F59"/>
          <w:sz w:val="24"/>
          <w:szCs w:val="24"/>
          <w:lang w:val="es-ES"/>
        </w:rPr>
      </w:pPr>
    </w:p>
    <w:p w14:paraId="1956F06A" w14:textId="77777777" w:rsidR="00021B06" w:rsidRPr="000D0130" w:rsidRDefault="00021B06" w:rsidP="00021B06">
      <w:pPr>
        <w:rPr>
          <w:rFonts w:asciiTheme="minorHAnsi" w:hAnsiTheme="minorHAnsi"/>
          <w:color w:val="002F59"/>
          <w:sz w:val="24"/>
          <w:szCs w:val="24"/>
          <w:lang w:val="es-ES"/>
        </w:rPr>
      </w:pPr>
    </w:p>
    <w:p w14:paraId="586437DD" w14:textId="77777777" w:rsidR="00021B06" w:rsidRDefault="00021B06" w:rsidP="00021B06">
      <w:pPr>
        <w:rPr>
          <w:rFonts w:asciiTheme="minorHAnsi" w:hAnsiTheme="minorHAnsi"/>
          <w:color w:val="002F59"/>
          <w:sz w:val="24"/>
          <w:szCs w:val="24"/>
          <w:lang w:val="es-ES"/>
        </w:rPr>
      </w:pPr>
    </w:p>
    <w:p w14:paraId="2FFDA2B8" w14:textId="77777777" w:rsidR="007F6845" w:rsidRDefault="007F6845" w:rsidP="00021B06">
      <w:pPr>
        <w:rPr>
          <w:rFonts w:asciiTheme="minorHAnsi" w:hAnsiTheme="minorHAnsi"/>
          <w:color w:val="002F59"/>
          <w:sz w:val="24"/>
          <w:szCs w:val="24"/>
          <w:lang w:val="es-ES"/>
        </w:rPr>
      </w:pPr>
    </w:p>
    <w:p w14:paraId="4285FCD0" w14:textId="77777777" w:rsidR="007F6845" w:rsidRDefault="007F6845" w:rsidP="00021B06">
      <w:pPr>
        <w:rPr>
          <w:rFonts w:asciiTheme="minorHAnsi" w:hAnsiTheme="minorHAnsi"/>
          <w:color w:val="002F59"/>
          <w:sz w:val="24"/>
          <w:szCs w:val="24"/>
          <w:lang w:val="es-ES"/>
        </w:rPr>
      </w:pPr>
    </w:p>
    <w:p w14:paraId="28BA1F11" w14:textId="77777777" w:rsidR="007F6845" w:rsidRDefault="007F6845" w:rsidP="00021B06">
      <w:pPr>
        <w:rPr>
          <w:rFonts w:asciiTheme="minorHAnsi" w:hAnsiTheme="minorHAnsi"/>
          <w:color w:val="002F59"/>
          <w:sz w:val="24"/>
          <w:szCs w:val="24"/>
          <w:lang w:val="es-ES"/>
        </w:rPr>
      </w:pPr>
    </w:p>
    <w:p w14:paraId="3A3DC008" w14:textId="77777777" w:rsidR="00021B06" w:rsidRPr="007F6845" w:rsidRDefault="00021B06" w:rsidP="00021B06">
      <w:pPr>
        <w:rPr>
          <w:rFonts w:asciiTheme="minorHAnsi" w:hAnsiTheme="minorHAnsi"/>
          <w:color w:val="002F59"/>
          <w:sz w:val="24"/>
          <w:szCs w:val="24"/>
          <w:lang w:val="es-ES"/>
        </w:rPr>
      </w:pPr>
    </w:p>
    <w:p w14:paraId="6DFCB763" w14:textId="708CD9B2" w:rsidR="00021B06" w:rsidRPr="007F6845" w:rsidRDefault="00021B06" w:rsidP="7385EFB3">
      <w:pPr>
        <w:rPr>
          <w:rFonts w:asciiTheme="minorHAnsi" w:hAnsiTheme="minorHAnsi"/>
          <w:color w:val="002F59"/>
          <w:sz w:val="24"/>
          <w:szCs w:val="24"/>
          <w:lang w:val="es-ES"/>
        </w:rPr>
      </w:pPr>
    </w:p>
    <w:p w14:paraId="37AE5FDC" w14:textId="6DF109E2" w:rsidR="5427178F" w:rsidRDefault="001F721A" w:rsidP="2454E6F0">
      <w:pPr>
        <w:widowControl w:val="0"/>
        <w:ind w:left="283"/>
        <w:jc w:val="center"/>
      </w:pPr>
      <w:r>
        <w:rPr>
          <w:rFonts w:asciiTheme="majorHAnsi" w:eastAsia="Poppins ExtraBold" w:hAnsiTheme="majorHAnsi" w:cs="Poppins ExtraBold"/>
          <w:color w:val="002F59"/>
          <w:sz w:val="66"/>
          <w:szCs w:val="66"/>
          <w:lang w:val="es-ES"/>
        </w:rPr>
      </w:r>
    </w:p>
    <w:p w14:paraId="690799B2" w14:textId="77777777" w:rsidR="00021B06" w:rsidRPr="00C12884" w:rsidRDefault="00021B06" w:rsidP="007F6845">
      <w:pPr>
        <w:widowControl w:val="0"/>
        <w:jc w:val="left"/>
        <w:rPr>
          <w:rFonts w:asciiTheme="minorHAnsi" w:hAnsiTheme="minorHAnsi"/>
          <w:sz w:val="29"/>
          <w:szCs w:val="29"/>
        </w:rPr>
      </w:pPr>
    </w:p>
    <w:p w14:paraId="63A0223F" w14:textId="77777777" w:rsidR="00021B06" w:rsidRPr="00C12884" w:rsidRDefault="00021B06" w:rsidP="00021B06">
      <w:pPr>
        <w:widowControl w:val="0"/>
        <w:jc w:val="left"/>
        <w:rPr>
          <w:rFonts w:asciiTheme="minorHAnsi" w:hAnsiTheme="minorHAnsi"/>
          <w:sz w:val="29"/>
          <w:szCs w:val="29"/>
        </w:rPr>
      </w:pPr>
    </w:p>
    <w:p w14:paraId="114EA9E6" w14:textId="77777777" w:rsidR="00021B06" w:rsidRDefault="00021B06" w:rsidP="00021B06">
      <w:pPr>
        <w:widowControl w:val="0"/>
        <w:jc w:val="left"/>
        <w:rPr>
          <w:rFonts w:asciiTheme="minorHAnsi" w:hAnsiTheme="minorHAnsi"/>
          <w:sz w:val="29"/>
          <w:szCs w:val="29"/>
        </w:rPr>
      </w:pPr>
    </w:p>
    <w:p w14:paraId="2A622D42" w14:textId="77777777" w:rsidR="007F6845" w:rsidRDefault="007F6845" w:rsidP="00021B06">
      <w:pPr>
        <w:widowControl w:val="0"/>
        <w:jc w:val="left"/>
        <w:rPr>
          <w:rFonts w:asciiTheme="minorHAnsi" w:hAnsiTheme="minorHAnsi"/>
          <w:sz w:val="29"/>
          <w:szCs w:val="29"/>
        </w:rPr>
      </w:pPr>
    </w:p>
    <w:p w14:paraId="271609BF" w14:textId="77777777" w:rsidR="007F6845" w:rsidRDefault="007F6845" w:rsidP="00021B06">
      <w:pPr>
        <w:widowControl w:val="0"/>
        <w:jc w:val="left"/>
        <w:rPr>
          <w:rFonts w:asciiTheme="minorHAnsi" w:hAnsiTheme="minorHAnsi"/>
          <w:sz w:val="29"/>
          <w:szCs w:val="29"/>
        </w:rPr>
      </w:pPr>
    </w:p>
    <w:p w14:paraId="4BA738E8" w14:textId="77777777" w:rsidR="007F6845" w:rsidRDefault="007F6845" w:rsidP="00021B06">
      <w:pPr>
        <w:widowControl w:val="0"/>
        <w:jc w:val="left"/>
        <w:rPr>
          <w:rFonts w:asciiTheme="minorHAnsi" w:hAnsiTheme="minorHAnsi"/>
          <w:sz w:val="29"/>
          <w:szCs w:val="29"/>
        </w:rPr>
      </w:pPr>
    </w:p>
    <w:p w14:paraId="31D91963" w14:textId="77777777" w:rsidR="007F6845" w:rsidRDefault="007F6845" w:rsidP="00021B06">
      <w:pPr>
        <w:widowControl w:val="0"/>
        <w:jc w:val="left"/>
        <w:rPr>
          <w:rFonts w:asciiTheme="minorHAnsi" w:hAnsiTheme="minorHAnsi"/>
          <w:sz w:val="29"/>
          <w:szCs w:val="29"/>
        </w:rPr>
      </w:pPr>
    </w:p>
    <w:p w14:paraId="22BBFD66" w14:textId="77777777" w:rsidR="007F6845" w:rsidRDefault="007F6845" w:rsidP="00021B06">
      <w:pPr>
        <w:widowControl w:val="0"/>
        <w:jc w:val="left"/>
        <w:rPr>
          <w:rFonts w:asciiTheme="minorHAnsi" w:hAnsiTheme="minorHAnsi"/>
          <w:sz w:val="29"/>
          <w:szCs w:val="29"/>
        </w:rPr>
      </w:pPr>
    </w:p>
    <w:p w14:paraId="149380D7" w14:textId="77777777" w:rsidR="007F6845" w:rsidRDefault="007F6845" w:rsidP="00021B06">
      <w:pPr>
        <w:widowControl w:val="0"/>
        <w:jc w:val="left"/>
        <w:rPr>
          <w:rFonts w:asciiTheme="minorHAnsi" w:hAnsiTheme="minorHAnsi"/>
          <w:sz w:val="29"/>
          <w:szCs w:val="29"/>
        </w:rPr>
      </w:pPr>
    </w:p>
    <w:p w14:paraId="324A08F1" w14:textId="77777777" w:rsidR="007F6845" w:rsidRDefault="007F6845" w:rsidP="00021B06">
      <w:pPr>
        <w:widowControl w:val="0"/>
        <w:jc w:val="left"/>
        <w:rPr>
          <w:rFonts w:asciiTheme="minorHAnsi" w:hAnsiTheme="minorHAnsi"/>
          <w:sz w:val="29"/>
          <w:szCs w:val="29"/>
        </w:rPr>
      </w:pPr>
    </w:p>
    <w:p w14:paraId="595076C3" w14:textId="77777777" w:rsidR="007F6845" w:rsidRPr="00C12884" w:rsidRDefault="007F6845" w:rsidP="00021B06">
      <w:pPr>
        <w:widowControl w:val="0"/>
        <w:jc w:val="left"/>
        <w:rPr>
          <w:rFonts w:asciiTheme="minorHAnsi" w:hAnsiTheme="minorHAnsi"/>
          <w:sz w:val="29"/>
          <w:szCs w:val="29"/>
        </w:rPr>
      </w:pPr>
    </w:p>
    <w:p w14:paraId="11D89C52" w14:textId="46E1F673" w:rsidR="00021B06" w:rsidRPr="00C12884" w:rsidRDefault="00021B06" w:rsidP="7385EFB3">
      <w:pPr>
        <w:widowControl w:val="0"/>
        <w:jc w:val="left"/>
        <w:rPr>
          <w:rFonts w:asciiTheme="minorHAnsi" w:hAnsiTheme="minorHAnsi"/>
          <w:sz w:val="29"/>
          <w:szCs w:val="29"/>
        </w:rPr>
      </w:pPr>
    </w:p>
    <w:p w14:paraId="3DF1BF5E" w14:textId="7EE8FE50" w:rsidR="00021B06" w:rsidRPr="000D0130" w:rsidRDefault="00021B06" w:rsidP="00021B06">
      <w:pPr>
        <w:widowControl w:val="0"/>
        <w:ind w:left="-141"/>
        <w:jc w:val="center"/>
        <w:rPr>
          <w:rFonts w:asciiTheme="majorHAnsi" w:eastAsia="Roboto Black" w:hAnsiTheme="majorHAnsi" w:cs="Roboto Black"/>
          <w:sz w:val="18"/>
          <w:szCs w:val="18"/>
        </w:rPr>
      </w:pPr>
      <w:r w:rsidRPr="000D0130">
        <w:rPr>
          <w:rFonts w:asciiTheme="majorHAnsi" w:hAnsiTheme="majorHAnsi"/>
        </w:rPr>
      </w:r>
    </w:p>
    <w:p w14:paraId="7E476138" w14:textId="090D6F9D" w:rsidR="00021B06" w:rsidRDefault="001F721A" w:rsidP="00B34570">
      <w:pPr>
        <w:pStyle w:val="Ttulo1"/>
        <w:rPr>
          <w:color w:val="002F59"/>
        </w:rPr>
      </w:pPr>
      <w:bookmarkStart w:id="0" w:name="_ro8izzgs65yl" w:colFirst="0" w:colLast="0"/>
      <w:bookmarkEnd w:id="0"/>
      <w:proofErr w:type="spellStart"/>
      <w:r>
        <w:rPr>
          <w:color w:val="002F59"/>
        </w:rPr>
      </w:r>
      <w:proofErr w:type="spellEnd"/>
    </w:p>
    <w:p w14:paraId="78A2DAEA" w14:textId="77777777" w:rsidR="001F721A" w:rsidRDefault="001F721A" w:rsidP="001F721A">
      <w:pPr>
        <w:rPr>
          <w:rFonts w:asciiTheme="minorHAnsi" w:hAnsiTheme="minorHAnsi"/>
          <w:lang w:val="es-ES"/>
        </w:rPr>
      </w:pPr>
    </w:p>
    <w:p w14:paraId="39DD301D" w14:textId="0917FF1E" w:rsidR="001F721A" w:rsidRPr="001F721A" w:rsidRDefault="001F721A" w:rsidP="001F721A">
      <w:pPr>
        <w:rPr>
          <w:rFonts w:asciiTheme="minorHAnsi" w:hAnsiTheme="minorHAnsi"/>
          <w:lang w:val="es-ES"/>
        </w:rPr>
      </w:pPr>
      <w:r w:rsidRPr="001F721A">
        <w:rPr>
          <w:rFonts w:asciiTheme="minorHAnsi" w:hAnsiTheme="minorHAnsi"/>
          <w:lang w:val="es-ES"/>
        </w:rPr>
      </w:r>
    </w:p>
    <w:p w14:paraId="27DF3ABD" w14:textId="77777777" w:rsidR="001F721A" w:rsidRPr="001F721A" w:rsidRDefault="001F721A" w:rsidP="001F721A">
      <w:pPr>
        <w:rPr>
          <w:lang w:val="es-ES"/>
        </w:rPr>
      </w:pPr>
    </w:p>
    <w:p w14:paraId="3B920911" w14:textId="52F0A312" w:rsidR="00021B06" w:rsidRPr="000756E1" w:rsidRDefault="001F721A" w:rsidP="00B34570">
      <w:pPr>
        <w:pStyle w:val="Ttulo1"/>
        <w:rPr>
          <w:color w:val="002F59"/>
        </w:rPr>
      </w:pPr>
      <w:r>
        <w:rPr>
          <w:color w:val="002F59"/>
        </w:rPr>
      </w:r>
    </w:p>
    <w:p w14:paraId="6C72B25B" w14:textId="2EE004C8" w:rsidR="00021B06" w:rsidRPr="00C12884" w:rsidRDefault="001F721A" w:rsidP="00021B06">
      <w:pPr>
        <w:rPr>
          <w:rFonts w:asciiTheme="minorHAnsi" w:hAnsiTheme="minorHAnsi"/>
        </w:rPr>
      </w:pPr>
      <w:r w:rsidRPr="001F721A">
        <w:rPr>
          <w:rFonts w:asciiTheme="minorHAnsi" w:hAnsiTheme="minorHAnsi"/>
          <w:lang w:val="es-ES"/>
        </w:rPr>
      </w:r>
    </w:p>
    <w:p w14:paraId="4CD2A51A" w14:textId="75E18C03" w:rsidR="00021B06" w:rsidRPr="00A40427" w:rsidRDefault="00021B06" w:rsidP="00B34570">
      <w:pPr>
        <w:pStyle w:val="Ttulo1"/>
        <w:rPr>
          <w:color w:val="002F59"/>
        </w:rPr>
      </w:pPr>
      <w:r w:rsidRPr="00A40427">
        <w:rPr>
          <w:color w:val="002F59"/>
        </w:rPr>
      </w:r>
      <w:r w:rsidR="003A26DA">
        <w:rPr>
          <w:color w:val="002F59"/>
        </w:rPr>
      </w:r>
    </w:p>
    <w:p w14:paraId="200FBBA1" w14:textId="446ABF1A" w:rsidR="00275B7B" w:rsidRPr="00C12884" w:rsidRDefault="03BA8A38" w:rsidP="36885F8C">
      <w:pPr>
        <w:rPr>
          <w:rFonts w:asciiTheme="minorHAnsi" w:hAnsiTheme="minorHAnsi"/>
          <w:lang w:val="es-ES"/>
        </w:rPr>
      </w:pPr>
      <w:r w:rsidRPr="61479FB2">
        <w:rPr>
          <w:rFonts w:asciiTheme="minorHAnsi" w:hAnsiTheme="minorHAnsi"/>
          <w:lang w:val="es-ES"/>
        </w:rPr>
      </w:r>
    </w:p>
    <w:p w14:paraId="27FB0B1C" w14:textId="3886B37E" w:rsidR="7D352052" w:rsidRDefault="7D352052" w:rsidP="7D352052">
      <w:pPr>
        <w:pStyle w:val="Prrafodelista"/>
        <w:rPr>
          <w:rFonts w:asciiTheme="minorHAnsi" w:hAnsiTheme="minorHAnsi"/>
          <w:lang w:val="es-ES"/>
        </w:rPr>
      </w:pPr>
    </w:p>
    <w:p w14:paraId="403E6D85" w14:textId="77777777" w:rsidR="00275B7B" w:rsidRPr="00C12884" w:rsidRDefault="00275B7B" w:rsidP="7A1699F2">
      <w:pPr>
        <w:rPr>
          <w:rFonts w:asciiTheme="minorHAnsi" w:hAnsiTheme="minorHAnsi"/>
          <w:color w:val="002F59"/>
          <w:sz w:val="24"/>
          <w:szCs w:val="24"/>
          <w:lang w:val="es-ES"/>
        </w:rPr>
      </w:pPr>
    </w:p>
    <w:p/>
    <w:p/>
    <w:p/>
    <w:p>
      <w:pPr>
        <w:spacing w:after="280"/>
        <w:jc w:val="center"/>
      </w:pPr>
      <w:r>
        <w:rPr>
          <w:rFonts w:ascii="Calibri" w:hAnsi="Calibri"/>
          <w:b/>
          <w:color w:val="003059"/>
          <w:sz w:val="44"/>
        </w:rPr>
        <w:t>PROPUESTA DE GESTIÓN Y ASIGNACIÓN</w:t>
        <w:br/>
        <w:t>EFICIENTE DE PROYECTOS</w:t>
      </w:r>
    </w:p>
    <w:p>
      <w:pPr>
        <w:spacing w:after="160"/>
        <w:jc w:val="center"/>
      </w:pPr>
      <w:r>
        <w:rPr>
          <w:rFonts w:ascii="Calibri" w:hAnsi="Calibri"/>
          <w:color w:val="0070C0"/>
          <w:sz w:val="26"/>
        </w:rPr>
        <w:t>Modelo de Asignación de Proyectos a Project Managers</w:t>
        <w:br/>
        <w:t>Blend360 Colombia – PMO Operations</w:t>
      </w:r>
    </w:p>
    <w:p>
      <w:pPr>
        <w:jc w:val="center"/>
      </w:pPr>
      <w:r>
        <w:rPr>
          <w:rFonts w:ascii="Calibri" w:hAnsi="Calibri"/>
          <w:color w:val="595959"/>
          <w:sz w:val="22"/>
        </w:rPr>
        <w:t>Versión 1.0  |  Abril 2026  |  Confidencial</w:t>
      </w:r>
    </w:p>
    <w:p>
      <w:r>
        <w:br w:type="page"/>
      </w:r>
    </w:p>
    <w:p>
      <w:pPr>
        <w:pStyle w:val="Ttulo1"/>
      </w:pPr>
      <w:r>
        <w:rPr>
          <w:rFonts w:ascii="Calibri" w:hAnsi="Calibri"/>
          <w:b/>
          <w:color w:val="003059"/>
          <w:sz w:val="32"/>
        </w:rPr>
        <w:t>1. Introducción</w:t>
      </w:r>
    </w:p>
    <w:p>
      <w:pPr>
        <w:pBdr>
          <w:bottom w:val="single" w:sz="6" w:space="1" w:color="003059"/>
        </w:pBdr>
        <w:spacing w:after="120"/>
      </w:pPr>
    </w:p>
    <w:p>
      <w:pPr>
        <w:spacing w:before="0" w:after="160"/>
        <w:jc w:val="left"/>
      </w:pPr>
      <w:r>
        <w:rPr>
          <w:rFonts w:ascii="Calibri" w:hAnsi="Calibri"/>
          <w:b w:val="0"/>
          <w:i w:val="0"/>
          <w:sz w:val="22"/>
        </w:rPr>
        <w:t>La gestión eficiente de proyectos en Blend360 Colombia requiere un modelo estructurado de asignación que garantice la sostenibilidad operativa del equipo de PMs, la calidad en la entrega de proyectos y la satisfacción de los clientes. El análisis de los datos de marzo y abril de 2026 revela que el equipo actualmente opera al 100% de su capacidad, con señales de sobrecarga puntual en algunos PMs y una cartera que supera la capacidad de atención individual en varios casos.</w:t>
      </w:r>
    </w:p>
    <w:p>
      <w:pPr>
        <w:spacing w:before="0" w:after="160"/>
        <w:jc w:val="left"/>
      </w:pPr>
      <w:r>
        <w:rPr>
          <w:rFonts w:ascii="Calibri" w:hAnsi="Calibri"/>
          <w:b w:val="0"/>
          <w:i w:val="0"/>
          <w:sz w:val="22"/>
        </w:rPr>
        <w:t>Este documento propone un modelo de asignación basado en criterios objetivos de carga, complejidad del proyecto y capacidad disponible, con el objetivo de distribuir el trabajo de manera equitativa y sostenible.</w:t>
      </w:r>
    </w:p>
    <w:p>
      <w:pPr>
        <w:pStyle w:val="Ttulo1"/>
      </w:pPr>
      <w:r>
        <w:rPr>
          <w:rFonts w:ascii="Calibri" w:hAnsi="Calibri"/>
          <w:b/>
          <w:color w:val="003059"/>
          <w:sz w:val="32"/>
        </w:rPr>
        <w:t>2. Diagnóstico de la Situación Actual</w:t>
      </w:r>
    </w:p>
    <w:p>
      <w:pPr>
        <w:pBdr>
          <w:bottom w:val="single" w:sz="6" w:space="1" w:color="003059"/>
        </w:pBdr>
        <w:spacing w:after="120"/>
      </w:pPr>
    </w:p>
    <w:p>
      <w:pPr>
        <w:pStyle w:val="Ttulo2"/>
      </w:pPr>
      <w:r>
        <w:rPr>
          <w:rFonts w:ascii="Calibri" w:hAnsi="Calibri"/>
          <w:b/>
          <w:color w:val="0070C0"/>
          <w:sz w:val="26"/>
        </w:rPr>
        <w:t>2.1 Hallazgos Clave</w:t>
      </w:r>
    </w:p>
    <w:p>
      <w:pPr>
        <w:pStyle w:val="Prrafodelista"/>
        <w:spacing w:after="60"/>
        <w:ind w:left="567"/>
      </w:pPr>
      <w:r>
        <w:rPr>
          <w:rFonts w:ascii="Calibri" w:hAnsi="Calibri"/>
          <w:b/>
          <w:color w:val="003059"/>
          <w:sz w:val="22"/>
        </w:rPr>
        <w:t xml:space="preserve">Saturación de capacidad: </w:t>
      </w:r>
      <w:r>
        <w:rPr>
          <w:rFonts w:ascii="Calibri" w:hAnsi="Calibri"/>
          <w:sz w:val="22"/>
        </w:rPr>
        <w:t>9 de 9 PMs operaron al 90-105% de su capacidad en marzo 2026, lo que elimina cualquier margen para absorber proyectos adicionales sin planificación previa.</w:t>
      </w:r>
    </w:p>
    <w:p>
      <w:pPr>
        <w:pStyle w:val="Prrafodelista"/>
        <w:spacing w:after="60"/>
        <w:ind w:left="567"/>
      </w:pPr>
      <w:r>
        <w:rPr>
          <w:rFonts w:ascii="Calibri" w:hAnsi="Calibri"/>
          <w:b/>
          <w:color w:val="003059"/>
          <w:sz w:val="22"/>
        </w:rPr>
        <w:t xml:space="preserve">Cartera desproporcionada: </w:t>
      </w:r>
      <w:r>
        <w:rPr>
          <w:rFonts w:ascii="Calibri" w:hAnsi="Calibri"/>
          <w:sz w:val="22"/>
        </w:rPr>
        <w:t>Oscar Barragan tiene 56 proyectos activos asignados, mientras Indira Duarte tiene 4. La distribución actual no responde a un criterio de carga homogénea.</w:t>
      </w:r>
    </w:p>
    <w:p>
      <w:pPr>
        <w:pStyle w:val="Prrafodelista"/>
        <w:spacing w:after="60"/>
        <w:ind w:left="567"/>
      </w:pPr>
      <w:r>
        <w:rPr>
          <w:rFonts w:ascii="Calibri" w:hAnsi="Calibri"/>
          <w:b/>
          <w:color w:val="003059"/>
          <w:sz w:val="22"/>
        </w:rPr>
        <w:t xml:space="preserve">Concentración de riesgo: </w:t>
      </w:r>
      <w:r>
        <w:rPr>
          <w:rFonts w:ascii="Calibri" w:hAnsi="Calibri"/>
          <w:sz w:val="22"/>
        </w:rPr>
        <w:t>Indira Duarte dedica el 88% de su tiempo a un único proyecto. Este nivel de concentración crea dependencia crítica y vulnerabilidad operativa.</w:t>
      </w:r>
    </w:p>
    <w:p>
      <w:pPr>
        <w:pStyle w:val="Prrafodelista"/>
        <w:spacing w:after="60"/>
        <w:ind w:left="567"/>
      </w:pPr>
      <w:r>
        <w:rPr>
          <w:rFonts w:ascii="Calibri" w:hAnsi="Calibri"/>
          <w:b/>
          <w:color w:val="003059"/>
          <w:sz w:val="22"/>
        </w:rPr>
        <w:t xml:space="preserve">Bajo tiempo facturable en algunos PMs: </w:t>
      </w:r>
      <w:r>
        <w:rPr>
          <w:rFonts w:ascii="Calibri" w:hAnsi="Calibri"/>
          <w:sz w:val="22"/>
        </w:rPr>
        <w:t>Diana Castro registra solo el 24.7% de sus horas en proyectos facturables durante marzo, lo que impacta la eficiencia del equipo.</w:t>
      </w:r>
    </w:p>
    <w:p>
      <w:pPr>
        <w:pStyle w:val="Prrafodelista"/>
        <w:spacing w:after="60"/>
        <w:ind w:left="567"/>
      </w:pPr>
      <w:r>
        <w:rPr>
          <w:rFonts w:ascii="Calibri" w:hAnsi="Calibri"/>
          <w:b/>
          <w:color w:val="003059"/>
          <w:sz w:val="22"/>
        </w:rPr>
        <w:t xml:space="preserve">Inconsistencias en OpenAir: </w:t>
      </w:r>
      <w:r>
        <w:rPr>
          <w:rFonts w:ascii="Calibri" w:hAnsi="Calibri"/>
          <w:sz w:val="22"/>
        </w:rPr>
        <w:t>Se identificaron proyectos marcados como "INACTIVO" en los que aún se registran horas. El maestro de proyectos no refleja con precisión la cartera activa real.</w:t>
      </w:r>
    </w:p>
    <w:p>
      <w:pPr>
        <w:pStyle w:val="Prrafodelista"/>
        <w:spacing w:after="60"/>
        <w:ind w:left="567"/>
      </w:pPr>
      <w:r>
        <w:rPr>
          <w:rFonts w:ascii="Calibri" w:hAnsi="Calibri"/>
          <w:b/>
          <w:color w:val="003059"/>
          <w:sz w:val="22"/>
        </w:rPr>
        <w:t xml:space="preserve">Ausencia de criterios formales de asignación: </w:t>
      </w:r>
      <w:r>
        <w:rPr>
          <w:rFonts w:ascii="Calibri" w:hAnsi="Calibri"/>
          <w:sz w:val="22"/>
        </w:rPr>
        <w:t>No existe actualmente un proceso documentado que defina cuántos proyectos puede gestionar un PM según su carga en horas ni cómo se prioriza la asignación.</w:t>
      </w:r>
    </w:p>
    <w:p/>
    <w:p>
      <w:pPr>
        <w:pStyle w:val="Ttulo2"/>
      </w:pPr>
      <w:r>
        <w:rPr>
          <w:rFonts w:ascii="Calibri" w:hAnsi="Calibri"/>
          <w:b/>
          <w:color w:val="0070C0"/>
          <w:sz w:val="26"/>
        </w:rPr>
        <w:t>2.2 Indicadores de Referencia Marzo 2026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val="clear" w:color="auto" w:fill="00305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3009"/>
            <w:shd w:val="clear" w:color="auto" w:fill="00305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Valor</w:t>
            </w:r>
          </w:p>
        </w:tc>
        <w:tc>
          <w:tcPr>
            <w:tcW w:type="dxa" w:w="3009"/>
            <w:shd w:val="clear" w:color="auto" w:fill="00305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Referencia / Alerta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Capacidad disponible mensual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193.6 h/PM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44h × 4.4 semanas</w:t>
            </w:r>
          </w:p>
        </w:tc>
      </w:tr>
      <w:tr>
        <w:tc>
          <w:tcPr>
            <w:tcW w:type="dxa" w:w="3009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PMs con utilización &gt; 100%</w:t>
            </w:r>
          </w:p>
        </w:tc>
        <w:tc>
          <w:tcPr>
            <w:tcW w:type="dxa" w:w="3009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 de 9 (22%)</w:t>
            </w:r>
          </w:p>
        </w:tc>
        <w:tc>
          <w:tcPr>
            <w:tcW w:type="dxa" w:w="3009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Alerta: rebalancear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PMs con utilización 90-100%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7 de 9 (78%)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Monitorear mensual</w:t>
            </w:r>
          </w:p>
        </w:tc>
      </w:tr>
      <w:tr>
        <w:tc>
          <w:tcPr>
            <w:tcW w:type="dxa" w:w="3009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Mayor concentración en 1 proyecto</w:t>
            </w:r>
          </w:p>
        </w:tc>
        <w:tc>
          <w:tcPr>
            <w:tcW w:type="dxa" w:w="3009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88.2% (Indira Duarte)</w:t>
            </w:r>
          </w:p>
        </w:tc>
        <w:tc>
          <w:tcPr>
            <w:tcW w:type="dxa" w:w="3009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Riesgo operativo alto</w:t>
            </w:r>
          </w:p>
        </w:tc>
      </w:tr>
    </w:tbl>
    <w:p/>
    <w:p>
      <w:pPr>
        <w:pStyle w:val="Ttulo1"/>
      </w:pPr>
      <w:r>
        <w:rPr>
          <w:rFonts w:ascii="Calibri" w:hAnsi="Calibri"/>
          <w:b/>
          <w:color w:val="003059"/>
          <w:sz w:val="32"/>
        </w:rPr>
        <w:t>3. Modelo Propuesto de Asignación</w:t>
      </w:r>
    </w:p>
    <w:p>
      <w:pPr>
        <w:pBdr>
          <w:bottom w:val="single" w:sz="6" w:space="1" w:color="003059"/>
        </w:pBdr>
        <w:spacing w:after="120"/>
      </w:pPr>
    </w:p>
    <w:p>
      <w:pPr>
        <w:spacing w:before="0" w:after="160"/>
        <w:jc w:val="left"/>
      </w:pPr>
      <w:r>
        <w:rPr>
          <w:rFonts w:ascii="Calibri" w:hAnsi="Calibri"/>
          <w:b w:val="0"/>
          <w:i w:val="0"/>
          <w:sz w:val="22"/>
        </w:rPr>
        <w:t>El modelo propuesto se estructura en torno a cuatro dimensiones: criterios de asignación, límites de carga, proceso de revisión y herramientas de seguimiento. Su implementación requiere el compromiso de los líderes de PMO y la actualización periódica del maestro de proyectos.</w:t>
      </w:r>
    </w:p>
    <w:p>
      <w:pPr>
        <w:pStyle w:val="Ttulo2"/>
      </w:pPr>
      <w:r>
        <w:rPr>
          <w:rFonts w:ascii="Calibri" w:hAnsi="Calibri"/>
          <w:b/>
          <w:color w:val="0070C0"/>
          <w:sz w:val="26"/>
        </w:rPr>
        <w:t>3.1 Criterios de Asignación de Proyectos a un PM</w:t>
      </w:r>
    </w:p>
    <w:p>
      <w:pPr>
        <w:spacing w:before="0" w:after="120"/>
        <w:jc w:val="left"/>
      </w:pPr>
      <w:r>
        <w:rPr>
          <w:rFonts w:ascii="Calibri" w:hAnsi="Calibri"/>
          <w:b w:val="0"/>
          <w:i w:val="0"/>
          <w:sz w:val="22"/>
        </w:rPr>
        <w:t>La asignación de un nuevo proyecto a un PM debe considerar los siguientes criterios en orden de prioridad:</w:t>
      </w:r>
    </w:p>
    <w:p>
      <w:pPr>
        <w:spacing w:after="160"/>
        <w:ind w:left="283"/>
      </w:pPr>
      <w:r>
        <w:rPr>
          <w:rFonts w:ascii="Calibri" w:hAnsi="Calibri"/>
          <w:b/>
          <w:color w:val="003059"/>
          <w:sz w:val="22"/>
        </w:rPr>
        <w:t xml:space="preserve">1. Capacidad disponible (criterio principal): </w:t>
      </w:r>
      <w:r>
        <w:rPr>
          <w:rFonts w:ascii="Calibri" w:hAnsi="Calibri"/>
          <w:sz w:val="22"/>
        </w:rPr>
        <w:t>El PM debe tener al menos el 20% de su capacidad mensual libre al momento de la asignación. Con 44h/semana, esto equivale a un mínimo de 8.8h/semana disponibles.</w:t>
      </w:r>
    </w:p>
    <w:p>
      <w:pPr>
        <w:spacing w:after="160"/>
        <w:ind w:left="283"/>
      </w:pPr>
      <w:r>
        <w:rPr>
          <w:rFonts w:ascii="Calibri" w:hAnsi="Calibri"/>
          <w:b/>
          <w:color w:val="003059"/>
          <w:sz w:val="22"/>
        </w:rPr>
        <w:t xml:space="preserve">2. Número de proyectos activos: </w:t>
      </w:r>
      <w:r>
        <w:rPr>
          <w:rFonts w:ascii="Calibri" w:hAnsi="Calibri"/>
          <w:sz w:val="22"/>
        </w:rPr>
        <w:t>Se recomienda que cada PM gestione entre 8 y 20 proyectos activos simultáneamente. Proyectos con baja actividad (menos de 4h/mes) deben revisarse para cierre o reasignación.</w:t>
      </w:r>
    </w:p>
    <w:p>
      <w:pPr>
        <w:spacing w:after="160"/>
        <w:ind w:left="283"/>
      </w:pPr>
      <w:r>
        <w:rPr>
          <w:rFonts w:ascii="Calibri" w:hAnsi="Calibri"/>
          <w:b/>
          <w:color w:val="003059"/>
          <w:sz w:val="22"/>
        </w:rPr>
        <w:t xml:space="preserve">3. Afinidad técnica y de cliente: </w:t>
      </w:r>
      <w:r>
        <w:rPr>
          <w:rFonts w:ascii="Calibri" w:hAnsi="Calibri"/>
          <w:sz w:val="22"/>
        </w:rPr>
        <w:t>Cuando sea posible, agrupar proyectos del mismo cliente o sector en un mismo PM, para reducir el tiempo de contextualización y fortalecer la relación cliente-PM.</w:t>
      </w:r>
    </w:p>
    <w:p>
      <w:pPr>
        <w:spacing w:after="160"/>
        <w:ind w:left="283"/>
      </w:pPr>
      <w:r>
        <w:rPr>
          <w:rFonts w:ascii="Calibri" w:hAnsi="Calibri"/>
          <w:b/>
          <w:color w:val="003059"/>
          <w:sz w:val="22"/>
        </w:rPr>
        <w:t xml:space="preserve">4. Complejidad del proyecto: </w:t>
      </w:r>
      <w:r>
        <w:rPr>
          <w:rFonts w:ascii="Calibri" w:hAnsi="Calibri"/>
          <w:sz w:val="22"/>
        </w:rPr>
        <w:t>Proyectos de alta complejidad (implementaciones, proyectos Fixed con alcance amplio) requieren mayor tiempo de gestión. Estos deben contabilizarse como equivalentes a 1.5 proyectos de tamaño estándar al calcular la carga.</w:t>
      </w:r>
    </w:p>
    <w:p>
      <w:pPr>
        <w:spacing w:after="160"/>
        <w:ind w:left="283"/>
      </w:pPr>
      <w:r>
        <w:rPr>
          <w:rFonts w:ascii="Calibri" w:hAnsi="Calibri"/>
          <w:b/>
          <w:color w:val="003059"/>
          <w:sz w:val="22"/>
        </w:rPr>
        <w:t xml:space="preserve">5. Tipo de contrato: </w:t>
      </w:r>
      <w:r>
        <w:rPr>
          <w:rFonts w:ascii="Calibri" w:hAnsi="Calibri"/>
          <w:sz w:val="22"/>
        </w:rPr>
        <w:t>Proyectos de operación o retainer (Ret) con flujo continuo de horas requieren atención regular y deben priorizarse en la asignación a PMs con disponibilidad sostenida.</w:t>
      </w:r>
    </w:p>
    <w:p>
      <w:pPr>
        <w:pStyle w:val="Ttulo2"/>
      </w:pPr>
      <w:r>
        <w:rPr>
          <w:rFonts w:ascii="Calibri" w:hAnsi="Calibri"/>
          <w:b/>
          <w:color w:val="0070C0"/>
          <w:sz w:val="26"/>
        </w:rPr>
        <w:t>3.2 Límites de Carga Recomendados</w:t>
      </w:r>
    </w:p>
    <w:p>
      <w:pPr>
        <w:spacing w:before="0" w:after="120"/>
        <w:jc w:val="left"/>
      </w:pPr>
      <w:r>
        <w:rPr>
          <w:rFonts w:ascii="Calibri" w:hAnsi="Calibri"/>
          <w:b w:val="0"/>
          <w:i w:val="0"/>
          <w:sz w:val="22"/>
        </w:rPr>
        <w:t>Se establecen los siguientes umbrales de carga como guía para la toma de decisiones de asignación: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00305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Zona de Carga</w:t>
            </w:r>
          </w:p>
        </w:tc>
        <w:tc>
          <w:tcPr>
            <w:tcW w:type="dxa" w:w="2256"/>
            <w:shd w:val="clear" w:color="auto" w:fill="00305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% Capacidad</w:t>
            </w:r>
          </w:p>
        </w:tc>
        <w:tc>
          <w:tcPr>
            <w:tcW w:type="dxa" w:w="2256"/>
            <w:shd w:val="clear" w:color="auto" w:fill="00305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Acción Recomendada</w:t>
            </w:r>
          </w:p>
        </w:tc>
        <w:tc>
          <w:tcPr>
            <w:tcW w:type="dxa" w:w="2256"/>
            <w:shd w:val="clear" w:color="auto" w:fill="00305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Semáforo</w:t>
            </w:r>
          </w:p>
        </w:tc>
      </w:tr>
      <w:tr>
        <w:tc>
          <w:tcPr>
            <w:tcW w:type="dxa" w:w="225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Óptima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70% – 85%</w:t>
            </w:r>
          </w:p>
        </w:tc>
        <w:tc>
          <w:tcPr>
            <w:tcW w:type="dxa" w:w="225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Asignación normal. PM disponible para nuevos proyectos.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🟢 Verde</w:t>
            </w:r>
          </w:p>
        </w:tc>
      </w:tr>
      <w:tr>
        <w:tc>
          <w:tcPr>
            <w:tcW w:type="dxa" w:w="2256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Alta</w:t>
            </w:r>
          </w:p>
        </w:tc>
        <w:tc>
          <w:tcPr>
            <w:tcW w:type="dxa" w:w="2256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85% – 95%</w:t>
            </w:r>
          </w:p>
        </w:tc>
        <w:tc>
          <w:tcPr>
            <w:tcW w:type="dxa" w:w="2256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Precaución. Evaluar antes de asignar nuevos proyectos.</w:t>
            </w:r>
          </w:p>
        </w:tc>
        <w:tc>
          <w:tcPr>
            <w:tcW w:type="dxa" w:w="2256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🟡 Amarillo</w:t>
            </w:r>
          </w:p>
        </w:tc>
      </w:tr>
      <w:tr>
        <w:tc>
          <w:tcPr>
            <w:tcW w:type="dxa" w:w="225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Crítica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95% – 100%</w:t>
            </w:r>
          </w:p>
        </w:tc>
        <w:tc>
          <w:tcPr>
            <w:tcW w:type="dxa" w:w="225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Solo asignar si otro proyecto libera carga. Monitorear.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🟠 Naranja</w:t>
            </w:r>
          </w:p>
        </w:tc>
      </w:tr>
      <w:tr>
        <w:tc>
          <w:tcPr>
            <w:tcW w:type="dxa" w:w="2256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Sobrecarga</w:t>
            </w:r>
          </w:p>
        </w:tc>
        <w:tc>
          <w:tcPr>
            <w:tcW w:type="dxa" w:w="2256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&gt; 100%</w:t>
            </w:r>
          </w:p>
        </w:tc>
        <w:tc>
          <w:tcPr>
            <w:tcW w:type="dxa" w:w="2256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No asignar nuevos proyectos. Redistribuir urgente.</w:t>
            </w:r>
          </w:p>
        </w:tc>
        <w:tc>
          <w:tcPr>
            <w:tcW w:type="dxa" w:w="2256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🔴 Rojo</w:t>
            </w:r>
          </w:p>
        </w:tc>
      </w:tr>
    </w:tbl>
    <w:p/>
    <w:p>
      <w:pPr>
        <w:pStyle w:val="Ttulo2"/>
      </w:pPr>
      <w:r>
        <w:rPr>
          <w:rFonts w:ascii="Calibri" w:hAnsi="Calibri"/>
          <w:b/>
          <w:color w:val="0070C0"/>
          <w:sz w:val="26"/>
        </w:rPr>
        <w:t>3.3 Proceso de Asignación</w:t>
      </w:r>
    </w:p>
    <w:p>
      <w:pPr>
        <w:spacing w:before="0" w:after="120"/>
        <w:jc w:val="left"/>
      </w:pPr>
      <w:r>
        <w:rPr>
          <w:rFonts w:ascii="Calibri" w:hAnsi="Calibri"/>
          <w:b w:val="0"/>
          <w:i w:val="0"/>
          <w:sz w:val="22"/>
        </w:rPr>
        <w:t>Se propone el siguiente proceso de 5 pasos para la asignación de nuevos proyectos:</w:t>
      </w:r>
    </w:p>
    <w:p>
      <w:pPr>
        <w:spacing w:after="160"/>
        <w:ind w:left="283"/>
      </w:pPr>
      <w:r>
        <w:rPr>
          <w:rFonts w:ascii="Calibri" w:hAnsi="Calibri"/>
          <w:b/>
          <w:color w:val="003059"/>
          <w:sz w:val="22"/>
        </w:rPr>
        <w:t xml:space="preserve">Paso 1 – Solicitud de asignación: </w:t>
      </w:r>
      <w:r>
        <w:rPr>
          <w:rFonts w:ascii="Calibri" w:hAnsi="Calibri"/>
          <w:sz w:val="22"/>
        </w:rPr>
        <w:t>Cuando se origina un nuevo proyecto (oportunidad ganada), el equipo comercial notifica a PMO con la información básica: cliente, tipo de proyecto, volumen estimado de horas por mes y fecha de inicio.</w:t>
      </w:r>
    </w:p>
    <w:p>
      <w:pPr>
        <w:spacing w:after="160"/>
        <w:ind w:left="283"/>
      </w:pPr>
      <w:r>
        <w:rPr>
          <w:rFonts w:ascii="Calibri" w:hAnsi="Calibri"/>
          <w:b/>
          <w:color w:val="003059"/>
          <w:sz w:val="22"/>
        </w:rPr>
        <w:t xml:space="preserve">Paso 2 – Revisión del tablero de carga: </w:t>
      </w:r>
      <w:r>
        <w:rPr>
          <w:rFonts w:ascii="Calibri" w:hAnsi="Calibri"/>
          <w:sz w:val="22"/>
        </w:rPr>
        <w:t>El líder de PMO consulta el consolidado semanal de carga (archivo Excel) para identificar el PM con mayor disponibilidad en el período proyectado.</w:t>
      </w:r>
    </w:p>
    <w:p>
      <w:pPr>
        <w:spacing w:after="160"/>
        <w:ind w:left="283"/>
      </w:pPr>
      <w:r>
        <w:rPr>
          <w:rFonts w:ascii="Calibri" w:hAnsi="Calibri"/>
          <w:b/>
          <w:color w:val="003059"/>
          <w:sz w:val="22"/>
        </w:rPr>
        <w:t xml:space="preserve">Paso 3 – Evaluación de criterios: </w:t>
      </w:r>
      <w:r>
        <w:rPr>
          <w:rFonts w:ascii="Calibri" w:hAnsi="Calibri"/>
          <w:sz w:val="22"/>
        </w:rPr>
        <w:t>Se verifica: capacidad disponible, número de proyectos activos, afinidad técnica y del cliente. Se selecciona el PM más adecuado.</w:t>
      </w:r>
    </w:p>
    <w:p>
      <w:pPr>
        <w:spacing w:after="160"/>
        <w:ind w:left="283"/>
      </w:pPr>
      <w:r>
        <w:rPr>
          <w:rFonts w:ascii="Calibri" w:hAnsi="Calibri"/>
          <w:b/>
          <w:color w:val="003059"/>
          <w:sz w:val="22"/>
        </w:rPr>
        <w:t xml:space="preserve">Paso 4 – Aprobación y comunicación: </w:t>
      </w:r>
      <w:r>
        <w:rPr>
          <w:rFonts w:ascii="Calibri" w:hAnsi="Calibri"/>
          <w:sz w:val="22"/>
        </w:rPr>
        <w:t>El líder de PMO aprueba la asignación y comunica al PM seleccionado con al menos 5 días hábiles de anticipación al inicio del proyecto.</w:t>
      </w:r>
    </w:p>
    <w:p>
      <w:pPr>
        <w:spacing w:after="160"/>
        <w:ind w:left="283"/>
      </w:pPr>
      <w:r>
        <w:rPr>
          <w:rFonts w:ascii="Calibri" w:hAnsi="Calibri"/>
          <w:b/>
          <w:color w:val="003059"/>
          <w:sz w:val="22"/>
        </w:rPr>
        <w:t xml:space="preserve">Paso 5 – Actualización del maestro: </w:t>
      </w:r>
      <w:r>
        <w:rPr>
          <w:rFonts w:ascii="Calibri" w:hAnsi="Calibri"/>
          <w:sz w:val="22"/>
        </w:rPr>
        <w:t>Se actualiza el maestro de proyectos (maestro.proyectos.xlsx) con el PM asignado, la fecha de inicio y el estado "Activo". Se configura el proyecto en OpenAir.</w:t>
      </w:r>
    </w:p>
    <w:p>
      <w:pPr>
        <w:pStyle w:val="Ttulo1"/>
      </w:pPr>
      <w:r>
        <w:rPr>
          <w:rFonts w:ascii="Calibri" w:hAnsi="Calibri"/>
          <w:b/>
          <w:color w:val="003059"/>
          <w:sz w:val="32"/>
        </w:rPr>
        <w:t>4. Herramientas de Seguimiento</w:t>
      </w:r>
    </w:p>
    <w:p>
      <w:pPr>
        <w:pBdr>
          <w:bottom w:val="single" w:sz="6" w:space="1" w:color="003059"/>
        </w:pBdr>
        <w:spacing w:after="120"/>
      </w:pPr>
    </w:p>
    <w:p>
      <w:pPr>
        <w:spacing w:before="0" w:after="160"/>
        <w:jc w:val="left"/>
      </w:pPr>
      <w:r>
        <w:rPr>
          <w:rFonts w:ascii="Calibri" w:hAnsi="Calibri"/>
          <w:b w:val="0"/>
          <w:i w:val="0"/>
          <w:sz w:val="22"/>
        </w:rPr>
        <w:t>Para hacer sostenible el modelo propuesto, se requieren las siguientes herramientas y rutinas de seguimiento:</w:t>
      </w:r>
    </w:p>
    <w:p>
      <w:pPr>
        <w:spacing w:after="160"/>
        <w:ind w:left="283"/>
      </w:pPr>
      <w:r>
        <w:rPr>
          <w:rFonts w:ascii="Calibri" w:hAnsi="Calibri"/>
          <w:b/>
          <w:color w:val="003059"/>
          <w:sz w:val="22"/>
        </w:rPr>
        <w:t xml:space="preserve">• Tablero mensual de carga (Excel): </w:t>
      </w:r>
      <w:r>
        <w:rPr>
          <w:rFonts w:ascii="Calibri" w:hAnsi="Calibri"/>
          <w:sz w:val="22"/>
        </w:rPr>
        <w:t>El archivo "Consolidado_Carga_PM_Blend360.xlsx" debe actualizarse mensualmente con el export de OpenAir. Incluye las hojas: Resumen por PM, Detalle PM-Proyecto, Evolución Semanal y Proyectos Activos.</w:t>
      </w:r>
    </w:p>
    <w:p>
      <w:pPr>
        <w:spacing w:after="160"/>
        <w:ind w:left="283"/>
      </w:pPr>
      <w:r>
        <w:rPr>
          <w:rFonts w:ascii="Calibri" w:hAnsi="Calibri"/>
          <w:b/>
          <w:color w:val="003059"/>
          <w:sz w:val="22"/>
        </w:rPr>
        <w:t xml:space="preserve">• Revisión quincenal de carga: </w:t>
      </w:r>
      <w:r>
        <w:rPr>
          <w:rFonts w:ascii="Calibri" w:hAnsi="Calibri"/>
          <w:sz w:val="22"/>
        </w:rPr>
        <w:t>El líder de PMO debe revisar la carga de cada PM cada dos semanas, usando los datos de OpenAir, para identificar desviaciones tempranas y actuar antes de que se conviertan en sobrecargas.</w:t>
      </w:r>
    </w:p>
    <w:p>
      <w:pPr>
        <w:spacing w:after="160"/>
        <w:ind w:left="283"/>
      </w:pPr>
      <w:r>
        <w:rPr>
          <w:rFonts w:ascii="Calibri" w:hAnsi="Calibri"/>
          <w:b/>
          <w:color w:val="003059"/>
          <w:sz w:val="22"/>
        </w:rPr>
        <w:t xml:space="preserve">• Maestro de proyectos actualizado: </w:t>
      </w:r>
      <w:r>
        <w:rPr>
          <w:rFonts w:ascii="Calibri" w:hAnsi="Calibri"/>
          <w:sz w:val="22"/>
        </w:rPr>
        <w:t>El archivo maestro.proyectos.xlsx debe mantenerse al día, cerrando proyectos inactivos y verificando que el PM asignado en el maestro coincida con quien reporta horas en OpenAir.</w:t>
      </w:r>
    </w:p>
    <w:p>
      <w:pPr>
        <w:spacing w:after="160"/>
        <w:ind w:left="283"/>
      </w:pPr>
      <w:r>
        <w:rPr>
          <w:rFonts w:ascii="Calibri" w:hAnsi="Calibri"/>
          <w:b/>
          <w:color w:val="003059"/>
          <w:sz w:val="22"/>
        </w:rPr>
        <w:t xml:space="preserve">• Alerta automática en OpenAir: </w:t>
      </w:r>
      <w:r>
        <w:rPr>
          <w:rFonts w:ascii="Calibri" w:hAnsi="Calibri"/>
          <w:sz w:val="22"/>
        </w:rPr>
        <w:t>Se recomienda configurar alertas en OpenAir cuando un PM supere el 90% de su capacidad mensual (39.6 horas/semana promedio), permitiendo acción preventiva.</w:t>
      </w:r>
    </w:p>
    <w:p>
      <w:pPr>
        <w:spacing w:after="160"/>
        <w:ind w:left="283"/>
      </w:pPr>
      <w:r>
        <w:rPr>
          <w:rFonts w:ascii="Calibri" w:hAnsi="Calibri"/>
          <w:b/>
          <w:color w:val="003059"/>
          <w:sz w:val="22"/>
        </w:rPr>
        <w:t xml:space="preserve">• Reunión mensual de portafolio: </w:t>
      </w:r>
      <w:r>
        <w:rPr>
          <w:rFonts w:ascii="Calibri" w:hAnsi="Calibri"/>
          <w:sz w:val="22"/>
        </w:rPr>
        <w:t>Espacio mensual de 1 hora entre el líder de PMO y los PMs para revisar la carga proyectada, identificar proyectos en riesgo de finalización y planificar la disponibilidad futura.</w:t>
      </w:r>
    </w:p>
    <w:p>
      <w:pPr>
        <w:pStyle w:val="Ttulo1"/>
      </w:pPr>
      <w:r>
        <w:rPr>
          <w:rFonts w:ascii="Calibri" w:hAnsi="Calibri"/>
          <w:b/>
          <w:color w:val="003059"/>
          <w:sz w:val="32"/>
        </w:rPr>
        <w:t>5. Plan de Acción Inmediata</w:t>
      </w:r>
    </w:p>
    <w:p>
      <w:pPr>
        <w:pBdr>
          <w:bottom w:val="single" w:sz="6" w:space="1" w:color="003059"/>
        </w:pBdr>
        <w:spacing w:after="120"/>
      </w:pPr>
    </w:p>
    <w:p>
      <w:pPr>
        <w:spacing w:before="0" w:after="160"/>
        <w:jc w:val="left"/>
      </w:pPr>
      <w:r>
        <w:rPr>
          <w:rFonts w:ascii="Calibri" w:hAnsi="Calibri"/>
          <w:b w:val="0"/>
          <w:i w:val="0"/>
          <w:sz w:val="22"/>
        </w:rPr>
        <w:t>Con base en el diagnóstico de marzo-abril 2026, se proponen las siguientes acciones prioritarias para implementar en el corto plazo: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00305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Acción</w:t>
            </w:r>
          </w:p>
        </w:tc>
        <w:tc>
          <w:tcPr>
            <w:tcW w:type="dxa" w:w="2256"/>
            <w:shd w:val="clear" w:color="auto" w:fill="00305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Responsable</w:t>
            </w:r>
          </w:p>
        </w:tc>
        <w:tc>
          <w:tcPr>
            <w:tcW w:type="dxa" w:w="2256"/>
            <w:shd w:val="clear" w:color="auto" w:fill="00305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Plazo</w:t>
            </w:r>
          </w:p>
        </w:tc>
        <w:tc>
          <w:tcPr>
            <w:tcW w:type="dxa" w:w="2256"/>
            <w:shd w:val="clear" w:color="auto" w:fill="00305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Prioridad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Revisión de cartera Oscar Barragan: Identificar y cerrar proyectos inactivos (meta: &lt; 30 proyectos activos)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Líder PMO + Oscar Barragan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Mayo 2026</w:t>
            </w:r>
          </w:p>
        </w:tc>
        <w:tc>
          <w:tcPr>
            <w:tcW w:type="dxa" w:w="2256"/>
            <w:shd w:val="clear" w:color="auto" w:fill="FF6B0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Alta</w:t>
            </w:r>
          </w:p>
        </w:tc>
      </w:tr>
      <w:tr>
        <w:tc>
          <w:tcPr>
            <w:tcW w:type="dxa" w:w="2256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Soporte para Indira Duarte en ADRES AI Medical: Asignar PM de apoyo o redistribuir tareas</w:t>
            </w:r>
          </w:p>
        </w:tc>
        <w:tc>
          <w:tcPr>
            <w:tcW w:type="dxa" w:w="2256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Líder PMO</w:t>
            </w:r>
          </w:p>
        </w:tc>
        <w:tc>
          <w:tcPr>
            <w:tcW w:type="dxa" w:w="2256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Inmediato</w:t>
            </w:r>
          </w:p>
        </w:tc>
        <w:tc>
          <w:tcPr>
            <w:tcW w:type="dxa" w:w="2256"/>
            <w:shd w:val="clear" w:color="auto" w:fill="FF4D4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Crítica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Revisión rol Diana Castro: Clarificar si el perfil de reuniones internas es intencional o hay desvío de registro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PMO + Diana Castro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Abril 2026</w:t>
            </w:r>
          </w:p>
        </w:tc>
        <w:tc>
          <w:tcPr>
            <w:tcW w:type="dxa" w:w="2256"/>
            <w:shd w:val="clear" w:color="auto" w:fill="FF6B0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Alta</w:t>
            </w:r>
          </w:p>
        </w:tc>
      </w:tr>
      <w:tr>
        <w:tc>
          <w:tcPr>
            <w:tcW w:type="dxa" w:w="2256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Limpieza de proyectos INACTIVO en OpenAir: Daniel Vargas registra horas en proyectos marcados como inactivos</w:t>
            </w:r>
          </w:p>
        </w:tc>
        <w:tc>
          <w:tcPr>
            <w:tcW w:type="dxa" w:w="2256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PMO + Daniel Vargas</w:t>
            </w:r>
          </w:p>
        </w:tc>
        <w:tc>
          <w:tcPr>
            <w:tcW w:type="dxa" w:w="2256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Inmediato</w:t>
            </w:r>
          </w:p>
        </w:tc>
        <w:tc>
          <w:tcPr>
            <w:tcW w:type="dxa" w:w="2256"/>
            <w:shd w:val="clear" w:color="auto" w:fill="FFD9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Media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Cierre de timesheets abril: Verificar que todos los PMs hayan cerrado reporte de horas de abril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Todos los PMs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Abril 30</w:t>
            </w:r>
          </w:p>
        </w:tc>
        <w:tc>
          <w:tcPr>
            <w:tcW w:type="dxa" w:w="2256"/>
            <w:shd w:val="clear" w:color="auto" w:fill="FF6B0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Alta</w:t>
            </w:r>
          </w:p>
        </w:tc>
      </w:tr>
      <w:tr>
        <w:tc>
          <w:tcPr>
            <w:tcW w:type="dxa" w:w="2256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Implementar tablero mensual de carga: Usar el Excel generado como base y programar actualización mensual</w:t>
            </w:r>
          </w:p>
        </w:tc>
        <w:tc>
          <w:tcPr>
            <w:tcW w:type="dxa" w:w="2256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PMO Lead</w:t>
            </w:r>
          </w:p>
        </w:tc>
        <w:tc>
          <w:tcPr>
            <w:tcW w:type="dxa" w:w="2256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Mayo 2026</w:t>
            </w:r>
          </w:p>
        </w:tc>
        <w:tc>
          <w:tcPr>
            <w:tcW w:type="dxa" w:w="2256"/>
            <w:shd w:val="clear" w:color="auto" w:fill="FFD9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Media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Documentar proceso de asignación: Formalizar el proceso de 5 pasos con formulario estándar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PMO Lead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Mayo 2026</w:t>
            </w:r>
          </w:p>
        </w:tc>
        <w:tc>
          <w:tcPr>
            <w:tcW w:type="dxa" w:w="2256"/>
            <w:shd w:val="clear" w:color="auto" w:fill="FFD9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Media</w:t>
            </w:r>
          </w:p>
        </w:tc>
      </w:tr>
    </w:tbl>
    <w:p/>
    <w:p>
      <w:pPr>
        <w:pStyle w:val="Ttulo1"/>
      </w:pPr>
      <w:r>
        <w:rPr>
          <w:rFonts w:ascii="Calibri" w:hAnsi="Calibri"/>
          <w:b/>
          <w:color w:val="003059"/>
          <w:sz w:val="32"/>
        </w:rPr>
        <w:t>6. Indicadores de Seguimiento (KPIs)</w:t>
      </w:r>
    </w:p>
    <w:p>
      <w:pPr>
        <w:pBdr>
          <w:bottom w:val="single" w:sz="6" w:space="1" w:color="003059"/>
        </w:pBdr>
        <w:spacing w:after="120"/>
      </w:pPr>
    </w:p>
    <w:p>
      <w:pPr>
        <w:spacing w:before="0" w:after="120"/>
        <w:jc w:val="left"/>
      </w:pPr>
      <w:r>
        <w:rPr>
          <w:rFonts w:ascii="Calibri" w:hAnsi="Calibri"/>
          <w:b w:val="0"/>
          <w:i w:val="0"/>
          <w:sz w:val="22"/>
        </w:rPr>
        <w:t>Se propone monitorear mensualmente los siguientes indicadores para evaluar la efectividad del modelo de asignación:</w:t>
      </w:r>
    </w:p>
    <w:p>
      <w:pPr>
        <w:spacing w:after="120"/>
        <w:ind w:left="283"/>
      </w:pPr>
      <w:r>
        <w:rPr>
          <w:rFonts w:ascii="Calibri" w:hAnsi="Calibri"/>
          <w:b/>
          <w:color w:val="003059"/>
          <w:sz w:val="22"/>
        </w:rPr>
        <w:t xml:space="preserve">• % Utilización promedio del equipo: </w:t>
      </w:r>
      <w:r>
        <w:rPr>
          <w:rFonts w:ascii="Calibri" w:hAnsi="Calibri"/>
          <w:sz w:val="22"/>
        </w:rPr>
        <w:t>Meta: entre 80% y 90% (zona verde-amarilla). Indica si el equipo tiene capacidad para nuevos proyectos.</w:t>
      </w:r>
    </w:p>
    <w:p>
      <w:pPr>
        <w:spacing w:after="120"/>
        <w:ind w:left="283"/>
      </w:pPr>
      <w:r>
        <w:rPr>
          <w:rFonts w:ascii="Calibri" w:hAnsi="Calibri"/>
          <w:b/>
          <w:color w:val="003059"/>
          <w:sz w:val="22"/>
        </w:rPr>
        <w:t xml:space="preserve">• # PMs con sobrecarga (&gt; 100%): </w:t>
      </w:r>
      <w:r>
        <w:rPr>
          <w:rFonts w:ascii="Calibri" w:hAnsi="Calibri"/>
          <w:sz w:val="22"/>
        </w:rPr>
        <w:t>Meta: 0. Cualquier PM en sobrecarga debe generar alerta inmediata.</w:t>
      </w:r>
    </w:p>
    <w:p>
      <w:pPr>
        <w:spacing w:after="120"/>
        <w:ind w:left="283"/>
      </w:pPr>
      <w:r>
        <w:rPr>
          <w:rFonts w:ascii="Calibri" w:hAnsi="Calibri"/>
          <w:b/>
          <w:color w:val="003059"/>
          <w:sz w:val="22"/>
        </w:rPr>
        <w:t xml:space="preserve">• # Proyectos activos promedio por PM: </w:t>
      </w:r>
      <w:r>
        <w:rPr>
          <w:rFonts w:ascii="Calibri" w:hAnsi="Calibri"/>
          <w:sz w:val="22"/>
        </w:rPr>
        <w:t>Meta: entre 10 y 20. Indica diversificación manejable sin fragmentación excesiva.</w:t>
      </w:r>
    </w:p>
    <w:p>
      <w:pPr>
        <w:spacing w:after="120"/>
        <w:ind w:left="283"/>
      </w:pPr>
      <w:r>
        <w:rPr>
          <w:rFonts w:ascii="Calibri" w:hAnsi="Calibri"/>
          <w:b/>
          <w:color w:val="003059"/>
          <w:sz w:val="22"/>
        </w:rPr>
        <w:t xml:space="preserve">• % Horas facturables vs total horas: </w:t>
      </w:r>
      <w:r>
        <w:rPr>
          <w:rFonts w:ascii="Calibri" w:hAnsi="Calibri"/>
          <w:sz w:val="22"/>
        </w:rPr>
        <w:t>Meta: &gt; 75%. Mide la productividad neta del equipo de PMs.</w:t>
      </w:r>
    </w:p>
    <w:p>
      <w:pPr>
        <w:spacing w:after="120"/>
        <w:ind w:left="283"/>
      </w:pPr>
      <w:r>
        <w:rPr>
          <w:rFonts w:ascii="Calibri" w:hAnsi="Calibri"/>
          <w:b/>
          <w:color w:val="003059"/>
          <w:sz w:val="22"/>
        </w:rPr>
        <w:t xml:space="preserve">• # Proyectos cerrados en el mes: </w:t>
      </w:r>
      <w:r>
        <w:rPr>
          <w:rFonts w:ascii="Calibri" w:hAnsi="Calibri"/>
          <w:sz w:val="22"/>
        </w:rPr>
        <w:t>Indicador de gestión del portafolio. Un cierre regular indica buena gestión del ciclo de vida.</w:t>
      </w:r>
    </w:p>
    <w:p>
      <w:pPr>
        <w:spacing w:after="120"/>
        <w:ind w:left="283"/>
      </w:pPr>
      <w:r>
        <w:rPr>
          <w:rFonts w:ascii="Calibri" w:hAnsi="Calibri"/>
          <w:b/>
          <w:color w:val="003059"/>
          <w:sz w:val="22"/>
        </w:rPr>
        <w:t xml:space="preserve">• Índice de concentración (horas en 1 proyecto / total): </w:t>
      </w:r>
      <w:r>
        <w:rPr>
          <w:rFonts w:ascii="Calibri" w:hAnsi="Calibri"/>
          <w:sz w:val="22"/>
        </w:rPr>
        <w:t>Meta: &lt; 60%. Valores superiores indican riesgo de dependencia excesiva en un solo proyecto.</w:t>
      </w:r>
    </w:p>
    <w:p>
      <w:r>
        <w:br w:type="page"/>
      </w:r>
    </w:p>
    <w:p>
      <w:pPr>
        <w:pStyle w:val="Ttulo1"/>
      </w:pPr>
      <w:r>
        <w:rPr>
          <w:rFonts w:ascii="Calibri" w:hAnsi="Calibri"/>
          <w:b/>
          <w:color w:val="003059"/>
          <w:sz w:val="32"/>
        </w:rPr>
        <w:t>7. Resumen Ejecutivo de la Propuesta</w:t>
      </w:r>
    </w:p>
    <w:p>
      <w:pPr>
        <w:pBdr>
          <w:bottom w:val="single" w:sz="6" w:space="1" w:color="003059"/>
        </w:pBdr>
        <w:spacing w:after="120"/>
      </w:pP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val="clear" w:color="auto" w:fill="BDD7EE"/>
          </w:tcPr>
          <w:p>
            <w:r>
              <w:rPr>
                <w:rFonts w:ascii="Calibri" w:hAnsi="Calibri"/>
                <w:b/>
                <w:color w:val="003059"/>
                <w:sz w:val="22"/>
              </w:rPr>
              <w:t>Puntos Clave del Modelo:</w:t>
              <w:br/>
            </w:r>
          </w:p>
          <w:p>
            <w:r>
              <w:rPr>
                <w:rFonts w:ascii="Calibri" w:hAnsi="Calibri"/>
                <w:sz w:val="20"/>
              </w:rPr>
              <w:t>• Capacidad máxima para asignación: 80-85% (35-37h/semana)</w:t>
            </w:r>
          </w:p>
          <w:p>
            <w:r>
              <w:rPr>
                <w:rFonts w:ascii="Calibri" w:hAnsi="Calibri"/>
                <w:sz w:val="20"/>
              </w:rPr>
              <w:t>• Máximo proyectos por PM: 20 proyectos activos con actividad mensual</w:t>
            </w:r>
          </w:p>
          <w:p>
            <w:r>
              <w:rPr>
                <w:rFonts w:ascii="Calibri" w:hAnsi="Calibri"/>
                <w:sz w:val="20"/>
              </w:rPr>
              <w:t>• Revisión de carga: quincenal obligatoria, mensual con todo el equipo</w:t>
            </w:r>
          </w:p>
          <w:p>
            <w:r>
              <w:rPr>
                <w:rFonts w:ascii="Calibri" w:hAnsi="Calibri"/>
                <w:sz w:val="20"/>
              </w:rPr>
              <w:t>• Proceso de 5 pasos para nueva asignación (solicitud → revisión → evaluación → aprobación → actualización)</w:t>
            </w:r>
          </w:p>
          <w:p>
            <w:r>
              <w:rPr>
                <w:rFonts w:ascii="Calibri" w:hAnsi="Calibri"/>
                <w:sz w:val="20"/>
              </w:rPr>
              <w:t>• Tablero mensual en Excel como herramienta central de seguimiento</w:t>
            </w:r>
          </w:p>
          <w:p>
            <w:r>
              <w:rPr>
                <w:rFonts w:ascii="Calibri" w:hAnsi="Calibri"/>
                <w:sz w:val="20"/>
              </w:rPr>
              <w:t>• Alerta automática en OpenAir al superar 90% de capacidad</w:t>
            </w:r>
          </w:p>
        </w:tc>
      </w:tr>
    </w:tbl>
    <w:p/>
    <w:p>
      <w:pPr>
        <w:spacing w:before="0" w:after="160"/>
        <w:jc w:val="left"/>
      </w:pPr>
      <w:r>
        <w:rPr>
          <w:rFonts w:ascii="Calibri" w:hAnsi="Calibri"/>
          <w:b w:val="0"/>
          <w:i w:val="0"/>
          <w:sz w:val="22"/>
        </w:rPr>
        <w:t>La implementación de este modelo permitirá a Blend360 Colombia gestionar el crecimiento del portafolio de proyectos de manera sostenible, protegiendo la salud operativa del equipo de PMs, mejorando la calidad de atención a los clientes y generando visibilidad temprana sobre riesgos de sobrecarga.</w:t>
      </w:r>
    </w:p>
    <w:p>
      <w:pPr>
        <w:spacing w:before="0" w:after="160"/>
        <w:jc w:val="left"/>
      </w:pPr>
      <w:r>
        <w:rPr>
          <w:rFonts w:ascii="Calibri" w:hAnsi="Calibri"/>
          <w:b w:val="0"/>
          <w:i w:val="0"/>
          <w:sz w:val="22"/>
        </w:rPr>
        <w:t>Se recomienda revisar y ajustar los parámetros del modelo (límites de carga, número máximo de proyectos) trimestralmente, incorporando la retroalimentación del equipo y los resultados observados.</w:t>
      </w:r>
    </w:p>
    <w:p>
      <w:pPr>
        <w:pBdr>
          <w:bottom w:val="single" w:sz="6" w:space="1" w:color="003059"/>
        </w:pBdr>
        <w:spacing w:after="120"/>
      </w:pPr>
    </w:p>
    <w:p>
      <w:pPr>
        <w:spacing w:before="0" w:after="120"/>
        <w:jc w:val="center"/>
      </w:pPr>
      <w:r>
        <w:rPr>
          <w:rFonts w:ascii="Calibri" w:hAnsi="Calibri"/>
          <w:b w:val="0"/>
          <w:i/>
          <w:color w:val="595959"/>
          <w:sz w:val="20"/>
        </w:rPr>
        <w:t>Documento elaborado por la Dirección de PMO – Blend360 Colombia  |  Abril 2026</w:t>
      </w:r>
    </w:p>
    <w:sectPr w:rsidR="00275B7B" w:rsidRPr="00C12884" w:rsidSect="007C4B1C">
      <w:headerReference w:type="default" r:id="rId11"/>
      <w:footerReference w:type="default" r:id="rId12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1810C4" w14:textId="77777777" w:rsidR="00F553CB" w:rsidRDefault="00F553CB" w:rsidP="007C4B1C">
      <w:r>
        <w:separator/>
      </w:r>
    </w:p>
  </w:endnote>
  <w:endnote w:type="continuationSeparator" w:id="0">
    <w:p w14:paraId="0C98DED0" w14:textId="77777777" w:rsidR="00F553CB" w:rsidRDefault="00F553CB" w:rsidP="007C4B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ontserrat">
    <w:altName w:val="Cambria"/>
    <w:charset w:val="00"/>
    <w:family w:val="auto"/>
    <w:pitch w:val="variable"/>
    <w:sig w:usb0="2000020F" w:usb1="00000003" w:usb2="00000000" w:usb3="00000000" w:csb0="00000197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Montserrat Black">
    <w:charset w:val="00"/>
    <w:family w:val="auto"/>
    <w:pitch w:val="variable"/>
    <w:sig w:usb0="2000020F" w:usb1="00000003" w:usb2="00000000" w:usb3="00000000" w:csb0="00000197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ingLiU"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Poppins ExtraBold">
    <w:charset w:val="00"/>
    <w:family w:val="auto"/>
    <w:pitch w:val="variable"/>
    <w:sig w:usb0="00008007" w:usb1="00000000" w:usb2="00000000" w:usb3="00000000" w:csb0="00000093" w:csb1="00000000"/>
  </w:font>
  <w:font w:name="Roboto Black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2E9EE" w14:textId="41882775" w:rsidR="007C4B1C" w:rsidRPr="007C4B1C" w:rsidRDefault="36885F8C" w:rsidP="007C4B1C">
    <w:pPr>
      <w:pStyle w:val="Piedepgina"/>
      <w:tabs>
        <w:tab w:val="clear" w:pos="4680"/>
        <w:tab w:val="clear" w:pos="9360"/>
        <w:tab w:val="right" w:pos="7920"/>
      </w:tabs>
      <w:ind w:left="90" w:right="360" w:hanging="450"/>
      <w:jc w:val="right"/>
      <w:rPr>
        <w:rFonts w:cs="Montserrat"/>
        <w:color w:val="808080" w:themeColor="text1" w:themeShade="80"/>
        <w:sz w:val="13"/>
        <w:szCs w:val="13"/>
      </w:rPr>
    </w:pPr>
    <w:bookmarkStart w:id="1" w:name="_Int_7ZhjQ9Lj"/>
    <w:r w:rsidRPr="00B53491">
      <w:rPr>
        <w:rFonts w:cs="Montserrat"/>
        <w:color w:val="808080" w:themeColor="text1" w:themeShade="80"/>
        <w:sz w:val="13"/>
        <w:szCs w:val="13"/>
        <w:lang w:val="en-US"/>
      </w:rPr>
      <w:t>© Copyright of</w:t>
    </w:r>
    <w:bookmarkEnd w:id="1"/>
    <w:r w:rsidRPr="00B53491">
      <w:rPr>
        <w:rFonts w:cs="Montserrat"/>
        <w:color w:val="808080" w:themeColor="text1" w:themeShade="80"/>
        <w:sz w:val="13"/>
        <w:szCs w:val="13"/>
        <w:lang w:val="en-US"/>
      </w:rPr>
      <w:t xml:space="preserve"> Blend360 2023. All rights reserved.</w:t>
    </w:r>
    <w:r w:rsidR="007C4B1C" w:rsidRPr="0013604F">
      <w:rPr>
        <w:rFonts w:cs="Montserrat"/>
        <w:color w:val="808080" w:themeColor="text1" w:themeShade="80"/>
        <w:sz w:val="13"/>
        <w:szCs w:val="13"/>
      </w:rPr>
      <w:ptab w:relativeTo="margin" w:alignment="center" w:leader="none"/>
    </w:r>
    <w:r w:rsidRPr="00B53491">
      <w:rPr>
        <w:rFonts w:cs="Montserrat"/>
        <w:color w:val="808080" w:themeColor="text1" w:themeShade="80"/>
        <w:sz w:val="13"/>
        <w:szCs w:val="13"/>
        <w:lang w:val="en-US"/>
      </w:rPr>
      <w:t xml:space="preserve">   </w:t>
    </w:r>
    <w:r w:rsidR="007C4B1C" w:rsidRPr="0013604F">
      <w:rPr>
        <w:rFonts w:cs="Montserrat"/>
        <w:color w:val="808080" w:themeColor="text1" w:themeShade="80"/>
        <w:sz w:val="13"/>
        <w:szCs w:val="13"/>
      </w:rPr>
      <w:ptab w:relativeTo="margin" w:alignment="right" w:leader="none"/>
    </w:r>
    <w:r w:rsidRPr="00B53491">
      <w:rPr>
        <w:rFonts w:cs="Montserrat"/>
        <w:color w:val="808080" w:themeColor="text1" w:themeShade="80"/>
        <w:sz w:val="13"/>
        <w:szCs w:val="13"/>
        <w:lang w:val="en-US"/>
      </w:rPr>
      <w:t xml:space="preserve">  </w:t>
    </w:r>
    <w:r w:rsidRPr="0013604F">
      <w:rPr>
        <w:rFonts w:cs="Montserrat"/>
        <w:color w:val="808080" w:themeColor="text1" w:themeShade="80"/>
        <w:sz w:val="13"/>
        <w:szCs w:val="13"/>
      </w:rPr>
      <w:t>www.blend360.com |       Blend360 |       @OfficialB36</w:t>
    </w:r>
    <w:r>
      <w:rPr>
        <w:rFonts w:cs="Montserrat"/>
        <w:color w:val="808080" w:themeColor="text1" w:themeShade="80"/>
        <w:sz w:val="13"/>
        <w:szCs w:val="13"/>
      </w:rPr>
      <w:t>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6A8339" w14:textId="77777777" w:rsidR="00F553CB" w:rsidRDefault="00F553CB" w:rsidP="007C4B1C">
      <w:r>
        <w:separator/>
      </w:r>
    </w:p>
  </w:footnote>
  <w:footnote w:type="continuationSeparator" w:id="0">
    <w:p w14:paraId="11444B6D" w14:textId="77777777" w:rsidR="00F553CB" w:rsidRDefault="00F553CB" w:rsidP="007C4B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300FB" w14:textId="77777777" w:rsidR="007C4B1C" w:rsidRDefault="007C4B1C" w:rsidP="007C4B1C">
    <w:pPr>
      <w:pStyle w:val="Encabezado"/>
      <w:tabs>
        <w:tab w:val="clear" w:pos="4680"/>
        <w:tab w:val="clear" w:pos="9360"/>
        <w:tab w:val="left" w:pos="1998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2FD11F00" wp14:editId="049F08C3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1270000" cy="241935"/>
          <wp:effectExtent l="0" t="0" r="0" b="0"/>
          <wp:wrapNone/>
          <wp:docPr id="647036729" name="Picture 647036729" descr="A blue and black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3558834" name="Picture 3" descr="A blue and black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70000" cy="2419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D197778" w14:textId="77777777" w:rsidR="007C4B1C" w:rsidRDefault="007C4B1C">
    <w:pPr>
      <w:pStyle w:val="Encabezado"/>
    </w:pPr>
    <w:r>
      <w:rPr>
        <w:noProof/>
      </w:rPr>
      <w:drawing>
        <wp:anchor distT="0" distB="0" distL="114300" distR="114300" simplePos="0" relativeHeight="251658241" behindDoc="1" locked="0" layoutInCell="1" allowOverlap="1" wp14:anchorId="641FD86F" wp14:editId="34BF11FC">
          <wp:simplePos x="0" y="0"/>
          <wp:positionH relativeFrom="column">
            <wp:posOffset>1817370</wp:posOffset>
          </wp:positionH>
          <wp:positionV relativeFrom="paragraph">
            <wp:posOffset>1327150</wp:posOffset>
          </wp:positionV>
          <wp:extent cx="12051665" cy="6775450"/>
          <wp:effectExtent l="0" t="0" r="0" b="0"/>
          <wp:wrapNone/>
          <wp:docPr id="59304064" name="Picture 59304064" descr="A blue circles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7025932" name="Picture 4" descr="A blue circles on a black background&#10;&#10;Description automatically generated"/>
                  <pic:cNvPicPr/>
                </pic:nvPicPr>
                <pic:blipFill>
                  <a:blip r:embed="rId2">
                    <a:alphaModFix amt="2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>
                    <a:off x="0" y="0"/>
                    <a:ext cx="12051665" cy="67754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rbgzrDjz7QSyiy" int2:id="044pl1HD">
      <int2:state int2:value="Rejected" int2:type="spell"/>
    </int2:textHash>
    <int2:textHash int2:hashCode="ColNt8eS4Qp544" int2:id="1U0YVbA0">
      <int2:state int2:value="Rejected" int2:type="spell"/>
    </int2:textHash>
    <int2:textHash int2:hashCode="Z0X6r62fBYPGJu" int2:id="21gPDc7a">
      <int2:state int2:value="Rejected" int2:type="AugLoop_Text_Critique"/>
    </int2:textHash>
    <int2:textHash int2:hashCode="tLs5z+UXpwmqIW" int2:id="2EgFqz9G">
      <int2:state int2:value="Rejected" int2:type="AugLoop_Text_Critique"/>
    </int2:textHash>
    <int2:textHash int2:hashCode="zJ+T0iXpZSq8nY" int2:id="3q4mHOz8">
      <int2:state int2:value="Rejected" int2:type="AugLoop_Text_Critique"/>
    </int2:textHash>
    <int2:textHash int2:hashCode="BvgKTTEubVGA3C" int2:id="482SoWEs">
      <int2:state int2:value="Rejected" int2:type="AugLoop_Text_Critique"/>
    </int2:textHash>
    <int2:textHash int2:hashCode="AA55PbcMWTCfpv" int2:id="FZs4sJsc">
      <int2:state int2:value="Rejected" int2:type="AugLoop_Text_Critique"/>
    </int2:textHash>
    <int2:textHash int2:hashCode="iKxElUECpMPF1C" int2:id="PaphJT1n">
      <int2:state int2:value="Rejected" int2:type="AugLoop_Text_Critique"/>
    </int2:textHash>
    <int2:textHash int2:hashCode="jXBQ/896LuKc12" int2:id="TSLoaul5">
      <int2:state int2:value="Rejected" int2:type="spell"/>
    </int2:textHash>
    <int2:textHash int2:hashCode="tKonPIJC4H8j6o" int2:id="d32WzG0L">
      <int2:state int2:value="Rejected" int2:type="spell"/>
    </int2:textHash>
    <int2:textHash int2:hashCode="xpwq9HvkdzVE8J" int2:id="joA1xYpG">
      <int2:state int2:value="Rejected" int2:type="AugLoop_Text_Critique"/>
    </int2:textHash>
    <int2:textHash int2:hashCode="BhrHQAR/JN2fl8" int2:id="pxVBcaXt">
      <int2:state int2:value="Rejected" int2:type="AugLoop_Text_Critique"/>
    </int2:textHash>
    <int2:textHash int2:hashCode="/BZuuBNh/zEXnN" int2:id="wQZOc1a0">
      <int2:state int2:value="Rejected" int2:type="spell"/>
    </int2:textHash>
    <int2:bookmark int2:bookmarkName="_Int_7ZhjQ9Lj" int2:invalidationBookmarkName="" int2:hashCode="8FXpfXkeervM6g" int2:id="SaUHGt0t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1575C"/>
    <w:multiLevelType w:val="multilevel"/>
    <w:tmpl w:val="9140A9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" w15:restartNumberingAfterBreak="0">
    <w:nsid w:val="01526858"/>
    <w:multiLevelType w:val="hybridMultilevel"/>
    <w:tmpl w:val="74D6A1E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FB50CE"/>
    <w:multiLevelType w:val="hybridMultilevel"/>
    <w:tmpl w:val="7FC08D62"/>
    <w:lvl w:ilvl="0" w:tplc="59BCFCAE">
      <w:start w:val="1"/>
      <w:numFmt w:val="decimal"/>
      <w:lvlText w:val="%1."/>
      <w:lvlJc w:val="left"/>
      <w:pPr>
        <w:ind w:left="720" w:hanging="360"/>
      </w:pPr>
    </w:lvl>
    <w:lvl w:ilvl="1" w:tplc="268884E8">
      <w:start w:val="1"/>
      <w:numFmt w:val="lowerLetter"/>
      <w:lvlText w:val="%2."/>
      <w:lvlJc w:val="left"/>
      <w:pPr>
        <w:ind w:left="1440" w:hanging="360"/>
      </w:pPr>
    </w:lvl>
    <w:lvl w:ilvl="2" w:tplc="2E6093DE">
      <w:start w:val="1"/>
      <w:numFmt w:val="lowerRoman"/>
      <w:lvlText w:val="%3."/>
      <w:lvlJc w:val="right"/>
      <w:pPr>
        <w:ind w:left="2160" w:hanging="180"/>
      </w:pPr>
    </w:lvl>
    <w:lvl w:ilvl="3" w:tplc="5974544C">
      <w:start w:val="1"/>
      <w:numFmt w:val="decimal"/>
      <w:lvlText w:val="%4."/>
      <w:lvlJc w:val="left"/>
      <w:pPr>
        <w:ind w:left="2880" w:hanging="360"/>
      </w:pPr>
    </w:lvl>
    <w:lvl w:ilvl="4" w:tplc="41B6752E">
      <w:start w:val="1"/>
      <w:numFmt w:val="lowerLetter"/>
      <w:lvlText w:val="%5."/>
      <w:lvlJc w:val="left"/>
      <w:pPr>
        <w:ind w:left="3600" w:hanging="360"/>
      </w:pPr>
    </w:lvl>
    <w:lvl w:ilvl="5" w:tplc="D7DA61AA">
      <w:start w:val="1"/>
      <w:numFmt w:val="lowerRoman"/>
      <w:lvlText w:val="%6."/>
      <w:lvlJc w:val="right"/>
      <w:pPr>
        <w:ind w:left="4320" w:hanging="180"/>
      </w:pPr>
    </w:lvl>
    <w:lvl w:ilvl="6" w:tplc="0E1EF72A">
      <w:start w:val="1"/>
      <w:numFmt w:val="decimal"/>
      <w:lvlText w:val="%7."/>
      <w:lvlJc w:val="left"/>
      <w:pPr>
        <w:ind w:left="5040" w:hanging="360"/>
      </w:pPr>
    </w:lvl>
    <w:lvl w:ilvl="7" w:tplc="8D768670">
      <w:start w:val="1"/>
      <w:numFmt w:val="lowerLetter"/>
      <w:lvlText w:val="%8."/>
      <w:lvlJc w:val="left"/>
      <w:pPr>
        <w:ind w:left="5760" w:hanging="360"/>
      </w:pPr>
    </w:lvl>
    <w:lvl w:ilvl="8" w:tplc="1C762B2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0EEADA"/>
    <w:multiLevelType w:val="hybridMultilevel"/>
    <w:tmpl w:val="0B5AFADE"/>
    <w:lvl w:ilvl="0" w:tplc="D5ACD460">
      <w:start w:val="1"/>
      <w:numFmt w:val="decimal"/>
      <w:lvlText w:val="%1."/>
      <w:lvlJc w:val="left"/>
      <w:pPr>
        <w:ind w:left="720" w:hanging="360"/>
      </w:pPr>
    </w:lvl>
    <w:lvl w:ilvl="1" w:tplc="EB5A6582">
      <w:start w:val="1"/>
      <w:numFmt w:val="lowerLetter"/>
      <w:lvlText w:val="%2."/>
      <w:lvlJc w:val="left"/>
      <w:pPr>
        <w:ind w:left="1440" w:hanging="360"/>
      </w:pPr>
    </w:lvl>
    <w:lvl w:ilvl="2" w:tplc="B278206A">
      <w:start w:val="1"/>
      <w:numFmt w:val="lowerRoman"/>
      <w:lvlText w:val="%3."/>
      <w:lvlJc w:val="right"/>
      <w:pPr>
        <w:ind w:left="2160" w:hanging="180"/>
      </w:pPr>
    </w:lvl>
    <w:lvl w:ilvl="3" w:tplc="F684A808">
      <w:start w:val="1"/>
      <w:numFmt w:val="decimal"/>
      <w:lvlText w:val="%4."/>
      <w:lvlJc w:val="left"/>
      <w:pPr>
        <w:ind w:left="2880" w:hanging="360"/>
      </w:pPr>
    </w:lvl>
    <w:lvl w:ilvl="4" w:tplc="B380C6B4">
      <w:start w:val="1"/>
      <w:numFmt w:val="lowerLetter"/>
      <w:lvlText w:val="%5."/>
      <w:lvlJc w:val="left"/>
      <w:pPr>
        <w:ind w:left="3600" w:hanging="360"/>
      </w:pPr>
    </w:lvl>
    <w:lvl w:ilvl="5" w:tplc="7334130C">
      <w:start w:val="1"/>
      <w:numFmt w:val="lowerRoman"/>
      <w:lvlText w:val="%6."/>
      <w:lvlJc w:val="right"/>
      <w:pPr>
        <w:ind w:left="4320" w:hanging="180"/>
      </w:pPr>
    </w:lvl>
    <w:lvl w:ilvl="6" w:tplc="FEEC42C8">
      <w:start w:val="1"/>
      <w:numFmt w:val="decimal"/>
      <w:lvlText w:val="%7."/>
      <w:lvlJc w:val="left"/>
      <w:pPr>
        <w:ind w:left="5040" w:hanging="360"/>
      </w:pPr>
    </w:lvl>
    <w:lvl w:ilvl="7" w:tplc="7116F410">
      <w:start w:val="1"/>
      <w:numFmt w:val="lowerLetter"/>
      <w:lvlText w:val="%8."/>
      <w:lvlJc w:val="left"/>
      <w:pPr>
        <w:ind w:left="5760" w:hanging="360"/>
      </w:pPr>
    </w:lvl>
    <w:lvl w:ilvl="8" w:tplc="B8E0FF9E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88200C"/>
    <w:multiLevelType w:val="hybridMultilevel"/>
    <w:tmpl w:val="4C18AD1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427C2F"/>
    <w:multiLevelType w:val="hybridMultilevel"/>
    <w:tmpl w:val="D7BA80D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8196A2"/>
    <w:multiLevelType w:val="hybridMultilevel"/>
    <w:tmpl w:val="5BD0D842"/>
    <w:lvl w:ilvl="0" w:tplc="FC8AC812">
      <w:start w:val="1"/>
      <w:numFmt w:val="decimal"/>
      <w:lvlText w:val="%1."/>
      <w:lvlJc w:val="left"/>
      <w:pPr>
        <w:ind w:left="720" w:hanging="360"/>
      </w:pPr>
    </w:lvl>
    <w:lvl w:ilvl="1" w:tplc="F0742F3A">
      <w:start w:val="1"/>
      <w:numFmt w:val="lowerLetter"/>
      <w:lvlText w:val="%2."/>
      <w:lvlJc w:val="left"/>
      <w:pPr>
        <w:ind w:left="1440" w:hanging="360"/>
      </w:pPr>
    </w:lvl>
    <w:lvl w:ilvl="2" w:tplc="1BE688D8">
      <w:start w:val="1"/>
      <w:numFmt w:val="lowerRoman"/>
      <w:lvlText w:val="%3."/>
      <w:lvlJc w:val="right"/>
      <w:pPr>
        <w:ind w:left="2160" w:hanging="180"/>
      </w:pPr>
    </w:lvl>
    <w:lvl w:ilvl="3" w:tplc="33909A24">
      <w:start w:val="1"/>
      <w:numFmt w:val="decimal"/>
      <w:lvlText w:val="%4."/>
      <w:lvlJc w:val="left"/>
      <w:pPr>
        <w:ind w:left="2880" w:hanging="360"/>
      </w:pPr>
    </w:lvl>
    <w:lvl w:ilvl="4" w:tplc="D5BAEEC2">
      <w:start w:val="1"/>
      <w:numFmt w:val="lowerLetter"/>
      <w:lvlText w:val="%5."/>
      <w:lvlJc w:val="left"/>
      <w:pPr>
        <w:ind w:left="3600" w:hanging="360"/>
      </w:pPr>
    </w:lvl>
    <w:lvl w:ilvl="5" w:tplc="23C23462">
      <w:start w:val="1"/>
      <w:numFmt w:val="lowerRoman"/>
      <w:lvlText w:val="%6."/>
      <w:lvlJc w:val="right"/>
      <w:pPr>
        <w:ind w:left="4320" w:hanging="180"/>
      </w:pPr>
    </w:lvl>
    <w:lvl w:ilvl="6" w:tplc="F4A6388E">
      <w:start w:val="1"/>
      <w:numFmt w:val="decimal"/>
      <w:lvlText w:val="%7."/>
      <w:lvlJc w:val="left"/>
      <w:pPr>
        <w:ind w:left="5040" w:hanging="360"/>
      </w:pPr>
    </w:lvl>
    <w:lvl w:ilvl="7" w:tplc="04022A98">
      <w:start w:val="1"/>
      <w:numFmt w:val="lowerLetter"/>
      <w:lvlText w:val="%8."/>
      <w:lvlJc w:val="left"/>
      <w:pPr>
        <w:ind w:left="5760" w:hanging="360"/>
      </w:pPr>
    </w:lvl>
    <w:lvl w:ilvl="8" w:tplc="5432643E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2C394B"/>
    <w:multiLevelType w:val="hybridMultilevel"/>
    <w:tmpl w:val="62E2E5D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28A1CF"/>
    <w:multiLevelType w:val="multilevel"/>
    <w:tmpl w:val="89BED5BC"/>
    <w:lvl w:ilvl="0">
      <w:start w:val="1"/>
      <w:numFmt w:val="decimal"/>
      <w:lvlText w:val="%1."/>
      <w:lvlJc w:val="right"/>
      <w:pPr>
        <w:ind w:left="720" w:hanging="360"/>
      </w:pPr>
      <w:rPr>
        <w:rFonts w:ascii="Verdana" w:hAnsi="Verdana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6329DF"/>
    <w:multiLevelType w:val="hybridMultilevel"/>
    <w:tmpl w:val="F842980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9A3EFF"/>
    <w:multiLevelType w:val="hybridMultilevel"/>
    <w:tmpl w:val="78F4CE60"/>
    <w:lvl w:ilvl="0" w:tplc="F064DB98">
      <w:start w:val="1"/>
      <w:numFmt w:val="decimal"/>
      <w:lvlText w:val="%1."/>
      <w:lvlJc w:val="left"/>
      <w:pPr>
        <w:ind w:left="720" w:hanging="360"/>
      </w:pPr>
    </w:lvl>
    <w:lvl w:ilvl="1" w:tplc="014AEEA8">
      <w:start w:val="1"/>
      <w:numFmt w:val="lowerLetter"/>
      <w:lvlText w:val="%2."/>
      <w:lvlJc w:val="left"/>
      <w:pPr>
        <w:ind w:left="1440" w:hanging="360"/>
      </w:pPr>
    </w:lvl>
    <w:lvl w:ilvl="2" w:tplc="23468CC2">
      <w:start w:val="1"/>
      <w:numFmt w:val="lowerRoman"/>
      <w:lvlText w:val="%3."/>
      <w:lvlJc w:val="right"/>
      <w:pPr>
        <w:ind w:left="2160" w:hanging="180"/>
      </w:pPr>
    </w:lvl>
    <w:lvl w:ilvl="3" w:tplc="63484CEE">
      <w:start w:val="1"/>
      <w:numFmt w:val="decimal"/>
      <w:lvlText w:val="%4."/>
      <w:lvlJc w:val="left"/>
      <w:pPr>
        <w:ind w:left="2880" w:hanging="360"/>
      </w:pPr>
    </w:lvl>
    <w:lvl w:ilvl="4" w:tplc="C7242CCC">
      <w:start w:val="1"/>
      <w:numFmt w:val="lowerLetter"/>
      <w:lvlText w:val="%5."/>
      <w:lvlJc w:val="left"/>
      <w:pPr>
        <w:ind w:left="3600" w:hanging="360"/>
      </w:pPr>
    </w:lvl>
    <w:lvl w:ilvl="5" w:tplc="EE3E61B0">
      <w:start w:val="1"/>
      <w:numFmt w:val="lowerRoman"/>
      <w:lvlText w:val="%6."/>
      <w:lvlJc w:val="right"/>
      <w:pPr>
        <w:ind w:left="4320" w:hanging="180"/>
      </w:pPr>
    </w:lvl>
    <w:lvl w:ilvl="6" w:tplc="1DCECF24">
      <w:start w:val="1"/>
      <w:numFmt w:val="decimal"/>
      <w:lvlText w:val="%7."/>
      <w:lvlJc w:val="left"/>
      <w:pPr>
        <w:ind w:left="5040" w:hanging="360"/>
      </w:pPr>
    </w:lvl>
    <w:lvl w:ilvl="7" w:tplc="196C9EE8">
      <w:start w:val="1"/>
      <w:numFmt w:val="lowerLetter"/>
      <w:lvlText w:val="%8."/>
      <w:lvlJc w:val="left"/>
      <w:pPr>
        <w:ind w:left="5760" w:hanging="360"/>
      </w:pPr>
    </w:lvl>
    <w:lvl w:ilvl="8" w:tplc="9854324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5F5492"/>
    <w:multiLevelType w:val="hybridMultilevel"/>
    <w:tmpl w:val="709EE9B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968472"/>
    <w:multiLevelType w:val="hybridMultilevel"/>
    <w:tmpl w:val="FD6CD2F8"/>
    <w:lvl w:ilvl="0" w:tplc="2A240E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98A6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A4EF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E4FA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42E0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AAFF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F6DF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B6D1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633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B618CE"/>
    <w:multiLevelType w:val="hybridMultilevel"/>
    <w:tmpl w:val="B050603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2D52AA"/>
    <w:multiLevelType w:val="hybridMultilevel"/>
    <w:tmpl w:val="16D090F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78A16D"/>
    <w:multiLevelType w:val="multilevel"/>
    <w:tmpl w:val="0C068BA8"/>
    <w:lvl w:ilvl="0">
      <w:start w:val="2"/>
      <w:numFmt w:val="decimal"/>
      <w:lvlText w:val="%1."/>
      <w:lvlJc w:val="right"/>
      <w:pPr>
        <w:ind w:left="720" w:hanging="360"/>
      </w:pPr>
      <w:rPr>
        <w:rFonts w:ascii="Verdana" w:hAnsi="Verdana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09241C"/>
    <w:multiLevelType w:val="hybridMultilevel"/>
    <w:tmpl w:val="6BD074A8"/>
    <w:lvl w:ilvl="0" w:tplc="B3706EAE">
      <w:start w:val="1"/>
      <w:numFmt w:val="upperLetter"/>
      <w:lvlText w:val="%1."/>
      <w:lvlJc w:val="left"/>
      <w:pPr>
        <w:ind w:left="720" w:hanging="360"/>
      </w:pPr>
    </w:lvl>
    <w:lvl w:ilvl="1" w:tplc="8CB43E08">
      <w:start w:val="1"/>
      <w:numFmt w:val="lowerLetter"/>
      <w:lvlText w:val="%2."/>
      <w:lvlJc w:val="left"/>
      <w:pPr>
        <w:ind w:left="1440" w:hanging="360"/>
      </w:pPr>
    </w:lvl>
    <w:lvl w:ilvl="2" w:tplc="0D08332C">
      <w:start w:val="1"/>
      <w:numFmt w:val="lowerRoman"/>
      <w:lvlText w:val="%3."/>
      <w:lvlJc w:val="right"/>
      <w:pPr>
        <w:ind w:left="2160" w:hanging="180"/>
      </w:pPr>
    </w:lvl>
    <w:lvl w:ilvl="3" w:tplc="833E6928">
      <w:start w:val="1"/>
      <w:numFmt w:val="decimal"/>
      <w:lvlText w:val="%4."/>
      <w:lvlJc w:val="left"/>
      <w:pPr>
        <w:ind w:left="2880" w:hanging="360"/>
      </w:pPr>
    </w:lvl>
    <w:lvl w:ilvl="4" w:tplc="91200536">
      <w:start w:val="1"/>
      <w:numFmt w:val="lowerLetter"/>
      <w:lvlText w:val="%5."/>
      <w:lvlJc w:val="left"/>
      <w:pPr>
        <w:ind w:left="3600" w:hanging="360"/>
      </w:pPr>
    </w:lvl>
    <w:lvl w:ilvl="5" w:tplc="5BE82D4E">
      <w:start w:val="1"/>
      <w:numFmt w:val="lowerRoman"/>
      <w:lvlText w:val="%6."/>
      <w:lvlJc w:val="right"/>
      <w:pPr>
        <w:ind w:left="4320" w:hanging="180"/>
      </w:pPr>
    </w:lvl>
    <w:lvl w:ilvl="6" w:tplc="60C4A186">
      <w:start w:val="1"/>
      <w:numFmt w:val="decimal"/>
      <w:lvlText w:val="%7."/>
      <w:lvlJc w:val="left"/>
      <w:pPr>
        <w:ind w:left="5040" w:hanging="360"/>
      </w:pPr>
    </w:lvl>
    <w:lvl w:ilvl="7" w:tplc="3C8C219A">
      <w:start w:val="1"/>
      <w:numFmt w:val="lowerLetter"/>
      <w:lvlText w:val="%8."/>
      <w:lvlJc w:val="left"/>
      <w:pPr>
        <w:ind w:left="5760" w:hanging="360"/>
      </w:pPr>
    </w:lvl>
    <w:lvl w:ilvl="8" w:tplc="856269E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F475B6"/>
    <w:multiLevelType w:val="hybridMultilevel"/>
    <w:tmpl w:val="2C725B6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AEDD76"/>
    <w:multiLevelType w:val="multilevel"/>
    <w:tmpl w:val="5BA2EFDC"/>
    <w:lvl w:ilvl="0">
      <w:start w:val="1"/>
      <w:numFmt w:val="decimal"/>
      <w:lvlText w:val="%1."/>
      <w:lvlJc w:val="right"/>
      <w:pPr>
        <w:ind w:left="720" w:hanging="360"/>
      </w:pPr>
    </w:lvl>
    <w:lvl w:ilvl="1">
      <w:start w:val="1"/>
      <w:numFmt w:val="decimal"/>
      <w:lvlText w:val="%1.%2."/>
      <w:lvlJc w:val="right"/>
      <w:pPr>
        <w:ind w:left="1440" w:hanging="360"/>
      </w:p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0E66D7"/>
    <w:multiLevelType w:val="hybridMultilevel"/>
    <w:tmpl w:val="7CD6900A"/>
    <w:lvl w:ilvl="0" w:tplc="626E8DEE">
      <w:start w:val="1"/>
      <w:numFmt w:val="decimal"/>
      <w:lvlText w:val="%1."/>
      <w:lvlJc w:val="left"/>
      <w:pPr>
        <w:ind w:left="720" w:hanging="360"/>
      </w:pPr>
    </w:lvl>
    <w:lvl w:ilvl="1" w:tplc="888AA286">
      <w:start w:val="1"/>
      <w:numFmt w:val="lowerLetter"/>
      <w:lvlText w:val="%2."/>
      <w:lvlJc w:val="left"/>
      <w:pPr>
        <w:ind w:left="1440" w:hanging="360"/>
      </w:pPr>
    </w:lvl>
    <w:lvl w:ilvl="2" w:tplc="6A746AF6">
      <w:start w:val="1"/>
      <w:numFmt w:val="lowerRoman"/>
      <w:lvlText w:val="%3."/>
      <w:lvlJc w:val="right"/>
      <w:pPr>
        <w:ind w:left="2160" w:hanging="180"/>
      </w:pPr>
    </w:lvl>
    <w:lvl w:ilvl="3" w:tplc="EB72FC9A">
      <w:start w:val="1"/>
      <w:numFmt w:val="decimal"/>
      <w:lvlText w:val="%4."/>
      <w:lvlJc w:val="left"/>
      <w:pPr>
        <w:ind w:left="2880" w:hanging="360"/>
      </w:pPr>
    </w:lvl>
    <w:lvl w:ilvl="4" w:tplc="5786229E">
      <w:start w:val="1"/>
      <w:numFmt w:val="lowerLetter"/>
      <w:lvlText w:val="%5."/>
      <w:lvlJc w:val="left"/>
      <w:pPr>
        <w:ind w:left="3600" w:hanging="360"/>
      </w:pPr>
    </w:lvl>
    <w:lvl w:ilvl="5" w:tplc="565EE870">
      <w:start w:val="1"/>
      <w:numFmt w:val="lowerRoman"/>
      <w:lvlText w:val="%6."/>
      <w:lvlJc w:val="right"/>
      <w:pPr>
        <w:ind w:left="4320" w:hanging="180"/>
      </w:pPr>
    </w:lvl>
    <w:lvl w:ilvl="6" w:tplc="CF06AB3A">
      <w:start w:val="1"/>
      <w:numFmt w:val="decimal"/>
      <w:lvlText w:val="%7."/>
      <w:lvlJc w:val="left"/>
      <w:pPr>
        <w:ind w:left="5040" w:hanging="360"/>
      </w:pPr>
    </w:lvl>
    <w:lvl w:ilvl="7" w:tplc="7A4059DC">
      <w:start w:val="1"/>
      <w:numFmt w:val="lowerLetter"/>
      <w:lvlText w:val="%8."/>
      <w:lvlJc w:val="left"/>
      <w:pPr>
        <w:ind w:left="5760" w:hanging="360"/>
      </w:pPr>
    </w:lvl>
    <w:lvl w:ilvl="8" w:tplc="D61EE730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E2DA8FD"/>
    <w:multiLevelType w:val="hybridMultilevel"/>
    <w:tmpl w:val="8BCCAD66"/>
    <w:lvl w:ilvl="0" w:tplc="CC06BD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9C48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D894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FC21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B084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5072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C816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0C6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F08E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5B642E9"/>
    <w:multiLevelType w:val="hybridMultilevel"/>
    <w:tmpl w:val="491AD35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0056C0"/>
    <w:multiLevelType w:val="hybridMultilevel"/>
    <w:tmpl w:val="BD1C5E2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032513"/>
    <w:multiLevelType w:val="multilevel"/>
    <w:tmpl w:val="BBDA1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CCCD2EC"/>
    <w:multiLevelType w:val="hybridMultilevel"/>
    <w:tmpl w:val="8D06BB58"/>
    <w:lvl w:ilvl="0" w:tplc="B10A5A46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A6DE1E5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DDDE3D8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E82CC7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86B8D65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7B0295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1C0405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65662E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34611B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845A633"/>
    <w:multiLevelType w:val="hybridMultilevel"/>
    <w:tmpl w:val="F8E04814"/>
    <w:lvl w:ilvl="0" w:tplc="83CCAD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70C8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4C78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2A5B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B4E0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704B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6428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4C36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A6A1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A80375"/>
    <w:multiLevelType w:val="multilevel"/>
    <w:tmpl w:val="9C92FB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27" w15:restartNumberingAfterBreak="0">
    <w:nsid w:val="4ED8F67B"/>
    <w:multiLevelType w:val="hybridMultilevel"/>
    <w:tmpl w:val="0DB40826"/>
    <w:lvl w:ilvl="0" w:tplc="FB381880">
      <w:start w:val="1"/>
      <w:numFmt w:val="decimal"/>
      <w:lvlText w:val="%1."/>
      <w:lvlJc w:val="left"/>
      <w:pPr>
        <w:ind w:left="720" w:hanging="360"/>
      </w:pPr>
    </w:lvl>
    <w:lvl w:ilvl="1" w:tplc="295E72C4">
      <w:start w:val="1"/>
      <w:numFmt w:val="lowerLetter"/>
      <w:lvlText w:val="%2."/>
      <w:lvlJc w:val="left"/>
      <w:pPr>
        <w:ind w:left="1440" w:hanging="360"/>
      </w:pPr>
    </w:lvl>
    <w:lvl w:ilvl="2" w:tplc="417C9284">
      <w:start w:val="1"/>
      <w:numFmt w:val="lowerRoman"/>
      <w:lvlText w:val="%3."/>
      <w:lvlJc w:val="right"/>
      <w:pPr>
        <w:ind w:left="2160" w:hanging="180"/>
      </w:pPr>
    </w:lvl>
    <w:lvl w:ilvl="3" w:tplc="7B62FA06">
      <w:start w:val="1"/>
      <w:numFmt w:val="decimal"/>
      <w:lvlText w:val="%4."/>
      <w:lvlJc w:val="left"/>
      <w:pPr>
        <w:ind w:left="2880" w:hanging="360"/>
      </w:pPr>
    </w:lvl>
    <w:lvl w:ilvl="4" w:tplc="6FFA6A52">
      <w:start w:val="1"/>
      <w:numFmt w:val="lowerLetter"/>
      <w:lvlText w:val="%5."/>
      <w:lvlJc w:val="left"/>
      <w:pPr>
        <w:ind w:left="3600" w:hanging="360"/>
      </w:pPr>
    </w:lvl>
    <w:lvl w:ilvl="5" w:tplc="5F967A8C">
      <w:start w:val="1"/>
      <w:numFmt w:val="lowerRoman"/>
      <w:lvlText w:val="%6."/>
      <w:lvlJc w:val="right"/>
      <w:pPr>
        <w:ind w:left="4320" w:hanging="180"/>
      </w:pPr>
    </w:lvl>
    <w:lvl w:ilvl="6" w:tplc="AB9CEC28">
      <w:start w:val="1"/>
      <w:numFmt w:val="decimal"/>
      <w:lvlText w:val="%7."/>
      <w:lvlJc w:val="left"/>
      <w:pPr>
        <w:ind w:left="5040" w:hanging="360"/>
      </w:pPr>
    </w:lvl>
    <w:lvl w:ilvl="7" w:tplc="49AE2ADA">
      <w:start w:val="1"/>
      <w:numFmt w:val="lowerLetter"/>
      <w:lvlText w:val="%8."/>
      <w:lvlJc w:val="left"/>
      <w:pPr>
        <w:ind w:left="5760" w:hanging="360"/>
      </w:pPr>
    </w:lvl>
    <w:lvl w:ilvl="8" w:tplc="4A8ADE70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22B797B"/>
    <w:multiLevelType w:val="hybridMultilevel"/>
    <w:tmpl w:val="4A8EAF0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2985F93"/>
    <w:multiLevelType w:val="multilevel"/>
    <w:tmpl w:val="FFFFFFFF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850" w:hanging="359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0" w15:restartNumberingAfterBreak="0">
    <w:nsid w:val="5563ECA1"/>
    <w:multiLevelType w:val="hybridMultilevel"/>
    <w:tmpl w:val="6458F454"/>
    <w:lvl w:ilvl="0" w:tplc="C0369026">
      <w:start w:val="1"/>
      <w:numFmt w:val="decimal"/>
      <w:lvlText w:val="%1)"/>
      <w:lvlJc w:val="left"/>
      <w:pPr>
        <w:ind w:left="720" w:hanging="360"/>
      </w:pPr>
    </w:lvl>
    <w:lvl w:ilvl="1" w:tplc="83C21292">
      <w:start w:val="1"/>
      <w:numFmt w:val="lowerLetter"/>
      <w:lvlText w:val="%2."/>
      <w:lvlJc w:val="left"/>
      <w:pPr>
        <w:ind w:left="1440" w:hanging="360"/>
      </w:pPr>
    </w:lvl>
    <w:lvl w:ilvl="2" w:tplc="D32CBB58">
      <w:start w:val="1"/>
      <w:numFmt w:val="lowerRoman"/>
      <w:lvlText w:val="%3."/>
      <w:lvlJc w:val="right"/>
      <w:pPr>
        <w:ind w:left="2160" w:hanging="180"/>
      </w:pPr>
    </w:lvl>
    <w:lvl w:ilvl="3" w:tplc="BF301EE8">
      <w:start w:val="1"/>
      <w:numFmt w:val="decimal"/>
      <w:lvlText w:val="%4."/>
      <w:lvlJc w:val="left"/>
      <w:pPr>
        <w:ind w:left="2880" w:hanging="360"/>
      </w:pPr>
    </w:lvl>
    <w:lvl w:ilvl="4" w:tplc="25161CD2">
      <w:start w:val="1"/>
      <w:numFmt w:val="lowerLetter"/>
      <w:lvlText w:val="%5."/>
      <w:lvlJc w:val="left"/>
      <w:pPr>
        <w:ind w:left="3600" w:hanging="360"/>
      </w:pPr>
    </w:lvl>
    <w:lvl w:ilvl="5" w:tplc="F8CA1124">
      <w:start w:val="1"/>
      <w:numFmt w:val="lowerRoman"/>
      <w:lvlText w:val="%6."/>
      <w:lvlJc w:val="right"/>
      <w:pPr>
        <w:ind w:left="4320" w:hanging="180"/>
      </w:pPr>
    </w:lvl>
    <w:lvl w:ilvl="6" w:tplc="0694A8F0">
      <w:start w:val="1"/>
      <w:numFmt w:val="decimal"/>
      <w:lvlText w:val="%7."/>
      <w:lvlJc w:val="left"/>
      <w:pPr>
        <w:ind w:left="5040" w:hanging="360"/>
      </w:pPr>
    </w:lvl>
    <w:lvl w:ilvl="7" w:tplc="87508D10">
      <w:start w:val="1"/>
      <w:numFmt w:val="lowerLetter"/>
      <w:lvlText w:val="%8."/>
      <w:lvlJc w:val="left"/>
      <w:pPr>
        <w:ind w:left="5760" w:hanging="360"/>
      </w:pPr>
    </w:lvl>
    <w:lvl w:ilvl="8" w:tplc="1E06337E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8A921BC"/>
    <w:multiLevelType w:val="multilevel"/>
    <w:tmpl w:val="A8F2F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AEF405D"/>
    <w:multiLevelType w:val="hybridMultilevel"/>
    <w:tmpl w:val="07BCF5C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C1817D"/>
    <w:multiLevelType w:val="hybridMultilevel"/>
    <w:tmpl w:val="97F4F2B4"/>
    <w:lvl w:ilvl="0" w:tplc="7C4E1AC0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BFBE56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CC1A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FCAD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204C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484B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A814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E26A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3E33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DDF7262"/>
    <w:multiLevelType w:val="multilevel"/>
    <w:tmpl w:val="B2829A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num w:numId="1" w16cid:durableId="311912866">
    <w:abstractNumId w:val="24"/>
  </w:num>
  <w:num w:numId="2" w16cid:durableId="434011757">
    <w:abstractNumId w:val="33"/>
  </w:num>
  <w:num w:numId="3" w16cid:durableId="817117099">
    <w:abstractNumId w:val="12"/>
  </w:num>
  <w:num w:numId="4" w16cid:durableId="727875134">
    <w:abstractNumId w:val="20"/>
  </w:num>
  <w:num w:numId="5" w16cid:durableId="421730000">
    <w:abstractNumId w:val="34"/>
  </w:num>
  <w:num w:numId="6" w16cid:durableId="1365055219">
    <w:abstractNumId w:val="26"/>
  </w:num>
  <w:num w:numId="7" w16cid:durableId="154033849">
    <w:abstractNumId w:val="2"/>
  </w:num>
  <w:num w:numId="8" w16cid:durableId="1094519026">
    <w:abstractNumId w:val="15"/>
  </w:num>
  <w:num w:numId="9" w16cid:durableId="653997233">
    <w:abstractNumId w:val="18"/>
  </w:num>
  <w:num w:numId="10" w16cid:durableId="1867936540">
    <w:abstractNumId w:val="8"/>
  </w:num>
  <w:num w:numId="11" w16cid:durableId="1744985522">
    <w:abstractNumId w:val="3"/>
  </w:num>
  <w:num w:numId="12" w16cid:durableId="554508347">
    <w:abstractNumId w:val="30"/>
  </w:num>
  <w:num w:numId="13" w16cid:durableId="1620448297">
    <w:abstractNumId w:val="19"/>
  </w:num>
  <w:num w:numId="14" w16cid:durableId="2008748922">
    <w:abstractNumId w:val="16"/>
  </w:num>
  <w:num w:numId="15" w16cid:durableId="2064863073">
    <w:abstractNumId w:val="10"/>
  </w:num>
  <w:num w:numId="16" w16cid:durableId="826480122">
    <w:abstractNumId w:val="0"/>
  </w:num>
  <w:num w:numId="17" w16cid:durableId="502934661">
    <w:abstractNumId w:val="27"/>
  </w:num>
  <w:num w:numId="18" w16cid:durableId="742874643">
    <w:abstractNumId w:val="25"/>
  </w:num>
  <w:num w:numId="19" w16cid:durableId="896745734">
    <w:abstractNumId w:val="6"/>
  </w:num>
  <w:num w:numId="20" w16cid:durableId="1607345110">
    <w:abstractNumId w:val="29"/>
  </w:num>
  <w:num w:numId="21" w16cid:durableId="672104276">
    <w:abstractNumId w:val="1"/>
  </w:num>
  <w:num w:numId="22" w16cid:durableId="699938888">
    <w:abstractNumId w:val="32"/>
  </w:num>
  <w:num w:numId="23" w16cid:durableId="73861394">
    <w:abstractNumId w:val="9"/>
  </w:num>
  <w:num w:numId="24" w16cid:durableId="728111199">
    <w:abstractNumId w:val="11"/>
  </w:num>
  <w:num w:numId="25" w16cid:durableId="328867982">
    <w:abstractNumId w:val="13"/>
  </w:num>
  <w:num w:numId="26" w16cid:durableId="97260005">
    <w:abstractNumId w:val="21"/>
  </w:num>
  <w:num w:numId="27" w16cid:durableId="1653098381">
    <w:abstractNumId w:val="14"/>
  </w:num>
  <w:num w:numId="28" w16cid:durableId="266930323">
    <w:abstractNumId w:val="31"/>
  </w:num>
  <w:num w:numId="29" w16cid:durableId="918295967">
    <w:abstractNumId w:val="17"/>
  </w:num>
  <w:num w:numId="30" w16cid:durableId="218634221">
    <w:abstractNumId w:val="4"/>
  </w:num>
  <w:num w:numId="31" w16cid:durableId="2087679983">
    <w:abstractNumId w:val="23"/>
  </w:num>
  <w:num w:numId="32" w16cid:durableId="378164393">
    <w:abstractNumId w:val="5"/>
  </w:num>
  <w:num w:numId="33" w16cid:durableId="688524739">
    <w:abstractNumId w:val="7"/>
  </w:num>
  <w:num w:numId="34" w16cid:durableId="1382510390">
    <w:abstractNumId w:val="22"/>
  </w:num>
  <w:num w:numId="35" w16cid:durableId="41690428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8AC"/>
    <w:rsid w:val="00021B06"/>
    <w:rsid w:val="0002273F"/>
    <w:rsid w:val="000450BF"/>
    <w:rsid w:val="0005585C"/>
    <w:rsid w:val="00057990"/>
    <w:rsid w:val="00060985"/>
    <w:rsid w:val="000756E1"/>
    <w:rsid w:val="000D0130"/>
    <w:rsid w:val="0010055F"/>
    <w:rsid w:val="00153277"/>
    <w:rsid w:val="001D2708"/>
    <w:rsid w:val="001D2828"/>
    <w:rsid w:val="001E6C1C"/>
    <w:rsid w:val="001F721A"/>
    <w:rsid w:val="002221D0"/>
    <w:rsid w:val="0022363A"/>
    <w:rsid w:val="00235936"/>
    <w:rsid w:val="0023635E"/>
    <w:rsid w:val="002503B0"/>
    <w:rsid w:val="00260658"/>
    <w:rsid w:val="00274E36"/>
    <w:rsid w:val="00275B7B"/>
    <w:rsid w:val="00277BCF"/>
    <w:rsid w:val="00295E01"/>
    <w:rsid w:val="002F6ECB"/>
    <w:rsid w:val="003A26DA"/>
    <w:rsid w:val="003C5AAE"/>
    <w:rsid w:val="003C7F9E"/>
    <w:rsid w:val="003D24F7"/>
    <w:rsid w:val="003E03C3"/>
    <w:rsid w:val="004623E2"/>
    <w:rsid w:val="004753CC"/>
    <w:rsid w:val="00485D07"/>
    <w:rsid w:val="004A0611"/>
    <w:rsid w:val="004A3468"/>
    <w:rsid w:val="00500886"/>
    <w:rsid w:val="005A7372"/>
    <w:rsid w:val="00635534"/>
    <w:rsid w:val="0064E8FF"/>
    <w:rsid w:val="00661D90"/>
    <w:rsid w:val="00683100"/>
    <w:rsid w:val="006F0EA7"/>
    <w:rsid w:val="006F485D"/>
    <w:rsid w:val="00737077"/>
    <w:rsid w:val="00761ABC"/>
    <w:rsid w:val="00792FEA"/>
    <w:rsid w:val="007C4B1C"/>
    <w:rsid w:val="007F6845"/>
    <w:rsid w:val="00881D14"/>
    <w:rsid w:val="008969E6"/>
    <w:rsid w:val="00897F24"/>
    <w:rsid w:val="008B2B57"/>
    <w:rsid w:val="00942351"/>
    <w:rsid w:val="00943531"/>
    <w:rsid w:val="0095423E"/>
    <w:rsid w:val="00973D7B"/>
    <w:rsid w:val="0099678D"/>
    <w:rsid w:val="009D10D5"/>
    <w:rsid w:val="009E056D"/>
    <w:rsid w:val="009F57FF"/>
    <w:rsid w:val="00A041B0"/>
    <w:rsid w:val="00A21E94"/>
    <w:rsid w:val="00A26EF3"/>
    <w:rsid w:val="00A40427"/>
    <w:rsid w:val="00A436B4"/>
    <w:rsid w:val="00AA2D55"/>
    <w:rsid w:val="00AA59FD"/>
    <w:rsid w:val="00AE7C8E"/>
    <w:rsid w:val="00B0517D"/>
    <w:rsid w:val="00B34570"/>
    <w:rsid w:val="00B376C8"/>
    <w:rsid w:val="00B53491"/>
    <w:rsid w:val="00B90EC5"/>
    <w:rsid w:val="00BB5CAA"/>
    <w:rsid w:val="00BB6DBB"/>
    <w:rsid w:val="00C12884"/>
    <w:rsid w:val="00C15B2F"/>
    <w:rsid w:val="00C626B1"/>
    <w:rsid w:val="00C675C0"/>
    <w:rsid w:val="00C93441"/>
    <w:rsid w:val="00C968AC"/>
    <w:rsid w:val="00CC5D79"/>
    <w:rsid w:val="00CD33D2"/>
    <w:rsid w:val="00D07E70"/>
    <w:rsid w:val="00DA2488"/>
    <w:rsid w:val="00DC739E"/>
    <w:rsid w:val="00DD1754"/>
    <w:rsid w:val="00E724D6"/>
    <w:rsid w:val="00F553CB"/>
    <w:rsid w:val="00F55B8C"/>
    <w:rsid w:val="00F57ADF"/>
    <w:rsid w:val="017A37E0"/>
    <w:rsid w:val="018CBC2E"/>
    <w:rsid w:val="01914619"/>
    <w:rsid w:val="026C9D37"/>
    <w:rsid w:val="03567DF1"/>
    <w:rsid w:val="03BA8A38"/>
    <w:rsid w:val="03BB8CDB"/>
    <w:rsid w:val="040A712A"/>
    <w:rsid w:val="0468971A"/>
    <w:rsid w:val="04BDD92C"/>
    <w:rsid w:val="0554104A"/>
    <w:rsid w:val="05793BF2"/>
    <w:rsid w:val="05E52A1B"/>
    <w:rsid w:val="05E666C4"/>
    <w:rsid w:val="061F3F6C"/>
    <w:rsid w:val="0651A66F"/>
    <w:rsid w:val="0690A0EA"/>
    <w:rsid w:val="073ED380"/>
    <w:rsid w:val="0792E994"/>
    <w:rsid w:val="08018370"/>
    <w:rsid w:val="08A54AB8"/>
    <w:rsid w:val="08C31A6D"/>
    <w:rsid w:val="08C739D4"/>
    <w:rsid w:val="0917D25E"/>
    <w:rsid w:val="094D7D3C"/>
    <w:rsid w:val="096B343F"/>
    <w:rsid w:val="097AD0B1"/>
    <w:rsid w:val="098A01F7"/>
    <w:rsid w:val="0A67DF18"/>
    <w:rsid w:val="0A964683"/>
    <w:rsid w:val="0D20252E"/>
    <w:rsid w:val="0D3EAE89"/>
    <w:rsid w:val="0DAACDEE"/>
    <w:rsid w:val="0DEB80D1"/>
    <w:rsid w:val="0E3E1624"/>
    <w:rsid w:val="0F676FEB"/>
    <w:rsid w:val="0F8076E3"/>
    <w:rsid w:val="10B27BB0"/>
    <w:rsid w:val="11E2196C"/>
    <w:rsid w:val="11F928CF"/>
    <w:rsid w:val="1213D5EB"/>
    <w:rsid w:val="125E80EF"/>
    <w:rsid w:val="12753E5A"/>
    <w:rsid w:val="127BD9AC"/>
    <w:rsid w:val="1286E8BE"/>
    <w:rsid w:val="12EB0666"/>
    <w:rsid w:val="13093DB0"/>
    <w:rsid w:val="1318F5B9"/>
    <w:rsid w:val="13845293"/>
    <w:rsid w:val="141510A6"/>
    <w:rsid w:val="14D4899B"/>
    <w:rsid w:val="1509D2D9"/>
    <w:rsid w:val="1578143F"/>
    <w:rsid w:val="168ACAD2"/>
    <w:rsid w:val="16D67F07"/>
    <w:rsid w:val="16EBFD4B"/>
    <w:rsid w:val="16F3FCBA"/>
    <w:rsid w:val="170746FD"/>
    <w:rsid w:val="175244D8"/>
    <w:rsid w:val="1791549A"/>
    <w:rsid w:val="17EE2E38"/>
    <w:rsid w:val="182223BF"/>
    <w:rsid w:val="1868EDD7"/>
    <w:rsid w:val="18FFB258"/>
    <w:rsid w:val="19E8B694"/>
    <w:rsid w:val="1A13863C"/>
    <w:rsid w:val="1A17603A"/>
    <w:rsid w:val="1B5A8AAA"/>
    <w:rsid w:val="1B861583"/>
    <w:rsid w:val="1BD81B4D"/>
    <w:rsid w:val="1BDA0A65"/>
    <w:rsid w:val="1C1D728C"/>
    <w:rsid w:val="1C3D451A"/>
    <w:rsid w:val="1C59C4A2"/>
    <w:rsid w:val="1C94301D"/>
    <w:rsid w:val="1CA17E2F"/>
    <w:rsid w:val="1D6FADFD"/>
    <w:rsid w:val="1D70AACB"/>
    <w:rsid w:val="1D7BA29A"/>
    <w:rsid w:val="1D907BB1"/>
    <w:rsid w:val="1DAF6909"/>
    <w:rsid w:val="1E29700F"/>
    <w:rsid w:val="1E67A195"/>
    <w:rsid w:val="1E8D391A"/>
    <w:rsid w:val="1EBB935B"/>
    <w:rsid w:val="1EBC6C74"/>
    <w:rsid w:val="1F6C87B2"/>
    <w:rsid w:val="1F6D4F89"/>
    <w:rsid w:val="1F920B79"/>
    <w:rsid w:val="1FCC93FD"/>
    <w:rsid w:val="1FEDCFA1"/>
    <w:rsid w:val="2004E9DA"/>
    <w:rsid w:val="20A85A36"/>
    <w:rsid w:val="21B8B074"/>
    <w:rsid w:val="21D44BA8"/>
    <w:rsid w:val="22BD8075"/>
    <w:rsid w:val="2306B511"/>
    <w:rsid w:val="240A98E5"/>
    <w:rsid w:val="2454E6F0"/>
    <w:rsid w:val="24CB6C93"/>
    <w:rsid w:val="24D783A0"/>
    <w:rsid w:val="24FD5659"/>
    <w:rsid w:val="2732703B"/>
    <w:rsid w:val="275DA112"/>
    <w:rsid w:val="276E4198"/>
    <w:rsid w:val="27B88FDB"/>
    <w:rsid w:val="2838C723"/>
    <w:rsid w:val="28394476"/>
    <w:rsid w:val="2874E9CA"/>
    <w:rsid w:val="288A3064"/>
    <w:rsid w:val="2913C4CD"/>
    <w:rsid w:val="2915D19B"/>
    <w:rsid w:val="29A929B6"/>
    <w:rsid w:val="29DA0B62"/>
    <w:rsid w:val="2A6D6C1E"/>
    <w:rsid w:val="2AB2263F"/>
    <w:rsid w:val="2C48AD00"/>
    <w:rsid w:val="2CC99C6A"/>
    <w:rsid w:val="2D43EF9B"/>
    <w:rsid w:val="2D7E269E"/>
    <w:rsid w:val="2DE9B78F"/>
    <w:rsid w:val="2E32FF09"/>
    <w:rsid w:val="2E53AF76"/>
    <w:rsid w:val="2E5C6CB3"/>
    <w:rsid w:val="2E72AA9D"/>
    <w:rsid w:val="2EAA005C"/>
    <w:rsid w:val="2EC4D25F"/>
    <w:rsid w:val="2EDB1A10"/>
    <w:rsid w:val="2F04D9C9"/>
    <w:rsid w:val="2F1ECDEA"/>
    <w:rsid w:val="2F7CDBD0"/>
    <w:rsid w:val="2FDC798D"/>
    <w:rsid w:val="2FF1CEF4"/>
    <w:rsid w:val="302ED01B"/>
    <w:rsid w:val="30A8AC38"/>
    <w:rsid w:val="318CE10A"/>
    <w:rsid w:val="319BB6C0"/>
    <w:rsid w:val="327C5221"/>
    <w:rsid w:val="32C67AC2"/>
    <w:rsid w:val="32EC9161"/>
    <w:rsid w:val="34203B9E"/>
    <w:rsid w:val="34463D5D"/>
    <w:rsid w:val="34479FE4"/>
    <w:rsid w:val="346F5E07"/>
    <w:rsid w:val="34817C52"/>
    <w:rsid w:val="349C3389"/>
    <w:rsid w:val="34F32E03"/>
    <w:rsid w:val="35FFD4C7"/>
    <w:rsid w:val="3612A795"/>
    <w:rsid w:val="3613B314"/>
    <w:rsid w:val="36885F8C"/>
    <w:rsid w:val="369CA451"/>
    <w:rsid w:val="36FE3BF2"/>
    <w:rsid w:val="37665AB9"/>
    <w:rsid w:val="37E2B85E"/>
    <w:rsid w:val="38471686"/>
    <w:rsid w:val="3853F29B"/>
    <w:rsid w:val="3868E5D8"/>
    <w:rsid w:val="38730A83"/>
    <w:rsid w:val="38AA6811"/>
    <w:rsid w:val="39268C54"/>
    <w:rsid w:val="395B7E65"/>
    <w:rsid w:val="3A365B75"/>
    <w:rsid w:val="3A4315AF"/>
    <w:rsid w:val="3A6A698C"/>
    <w:rsid w:val="3AB1D08F"/>
    <w:rsid w:val="3B496428"/>
    <w:rsid w:val="3B75F3EB"/>
    <w:rsid w:val="3B89DACD"/>
    <w:rsid w:val="3C03C213"/>
    <w:rsid w:val="3C6A5C33"/>
    <w:rsid w:val="3C6CA486"/>
    <w:rsid w:val="3C80615E"/>
    <w:rsid w:val="3C9CB257"/>
    <w:rsid w:val="3D3E34F0"/>
    <w:rsid w:val="3D4A0719"/>
    <w:rsid w:val="3DB2936F"/>
    <w:rsid w:val="3DCF4C14"/>
    <w:rsid w:val="3E5EA6C3"/>
    <w:rsid w:val="3EB7CE17"/>
    <w:rsid w:val="3EDC9FE4"/>
    <w:rsid w:val="3EF5CB60"/>
    <w:rsid w:val="3F1113E6"/>
    <w:rsid w:val="3F386030"/>
    <w:rsid w:val="3F3AFEEE"/>
    <w:rsid w:val="3F42D6A3"/>
    <w:rsid w:val="3F7C6146"/>
    <w:rsid w:val="3FAFA3B8"/>
    <w:rsid w:val="3FD5028B"/>
    <w:rsid w:val="4031A297"/>
    <w:rsid w:val="40A151D1"/>
    <w:rsid w:val="40A8F71A"/>
    <w:rsid w:val="40F31ED7"/>
    <w:rsid w:val="41010B9F"/>
    <w:rsid w:val="41656AD9"/>
    <w:rsid w:val="4168E671"/>
    <w:rsid w:val="4228DCE2"/>
    <w:rsid w:val="427BBE90"/>
    <w:rsid w:val="42DCCEE9"/>
    <w:rsid w:val="43BFC4CF"/>
    <w:rsid w:val="43D611E4"/>
    <w:rsid w:val="43F4BAA5"/>
    <w:rsid w:val="44365427"/>
    <w:rsid w:val="445927AB"/>
    <w:rsid w:val="44D0AD58"/>
    <w:rsid w:val="44D83AAA"/>
    <w:rsid w:val="45404EFD"/>
    <w:rsid w:val="45648A08"/>
    <w:rsid w:val="45C9436F"/>
    <w:rsid w:val="45E767F7"/>
    <w:rsid w:val="45EB7FCF"/>
    <w:rsid w:val="465F229C"/>
    <w:rsid w:val="46A0ED93"/>
    <w:rsid w:val="46B9C753"/>
    <w:rsid w:val="4820EC2C"/>
    <w:rsid w:val="4821B7E3"/>
    <w:rsid w:val="488238D1"/>
    <w:rsid w:val="48C0A1B8"/>
    <w:rsid w:val="48CBFAF6"/>
    <w:rsid w:val="49947C43"/>
    <w:rsid w:val="49F9AA4F"/>
    <w:rsid w:val="4A063334"/>
    <w:rsid w:val="4A18AF77"/>
    <w:rsid w:val="4A495AD7"/>
    <w:rsid w:val="4A5D9E34"/>
    <w:rsid w:val="4B47C09A"/>
    <w:rsid w:val="4BBD7D62"/>
    <w:rsid w:val="4BEA271A"/>
    <w:rsid w:val="4C1D5E19"/>
    <w:rsid w:val="4C6A10D5"/>
    <w:rsid w:val="4C6B4C2D"/>
    <w:rsid w:val="4D606EEF"/>
    <w:rsid w:val="4F79CE4F"/>
    <w:rsid w:val="4F80E092"/>
    <w:rsid w:val="4FE590F0"/>
    <w:rsid w:val="50530F8B"/>
    <w:rsid w:val="50633BF2"/>
    <w:rsid w:val="509B4CA0"/>
    <w:rsid w:val="50DC13E9"/>
    <w:rsid w:val="512E2577"/>
    <w:rsid w:val="513FC394"/>
    <w:rsid w:val="51600DEB"/>
    <w:rsid w:val="5163B568"/>
    <w:rsid w:val="517168A0"/>
    <w:rsid w:val="51B5EBA3"/>
    <w:rsid w:val="5214E458"/>
    <w:rsid w:val="522D452A"/>
    <w:rsid w:val="52E89EB7"/>
    <w:rsid w:val="532C5524"/>
    <w:rsid w:val="53CE0626"/>
    <w:rsid w:val="5427178F"/>
    <w:rsid w:val="5440BB24"/>
    <w:rsid w:val="54991DCC"/>
    <w:rsid w:val="549C0E3C"/>
    <w:rsid w:val="54C36DD6"/>
    <w:rsid w:val="54C84D0D"/>
    <w:rsid w:val="54EF0AEA"/>
    <w:rsid w:val="54F073E8"/>
    <w:rsid w:val="5649387A"/>
    <w:rsid w:val="56AF673E"/>
    <w:rsid w:val="587946BC"/>
    <w:rsid w:val="593E99DC"/>
    <w:rsid w:val="594D2EE8"/>
    <w:rsid w:val="59681783"/>
    <w:rsid w:val="5BA5A20B"/>
    <w:rsid w:val="5CA0D4DB"/>
    <w:rsid w:val="5CD1895D"/>
    <w:rsid w:val="5D26A402"/>
    <w:rsid w:val="5E168587"/>
    <w:rsid w:val="5F415E08"/>
    <w:rsid w:val="5F6DBC8E"/>
    <w:rsid w:val="5FE891B9"/>
    <w:rsid w:val="6026934E"/>
    <w:rsid w:val="602EE293"/>
    <w:rsid w:val="60A6F923"/>
    <w:rsid w:val="61479FB2"/>
    <w:rsid w:val="619CE282"/>
    <w:rsid w:val="61CE348C"/>
    <w:rsid w:val="61DACF0B"/>
    <w:rsid w:val="61DDF647"/>
    <w:rsid w:val="61F7E119"/>
    <w:rsid w:val="624784F1"/>
    <w:rsid w:val="625C5842"/>
    <w:rsid w:val="63640388"/>
    <w:rsid w:val="64679B9A"/>
    <w:rsid w:val="64810661"/>
    <w:rsid w:val="6497AF33"/>
    <w:rsid w:val="64CC1906"/>
    <w:rsid w:val="6545509A"/>
    <w:rsid w:val="658588F0"/>
    <w:rsid w:val="67605A85"/>
    <w:rsid w:val="678F4992"/>
    <w:rsid w:val="67A0CA69"/>
    <w:rsid w:val="67D116AA"/>
    <w:rsid w:val="6846190B"/>
    <w:rsid w:val="688B5FCA"/>
    <w:rsid w:val="69EC80F4"/>
    <w:rsid w:val="6A18C4D7"/>
    <w:rsid w:val="6A47C3F9"/>
    <w:rsid w:val="6AA7364A"/>
    <w:rsid w:val="6B2D98E4"/>
    <w:rsid w:val="6C8AC419"/>
    <w:rsid w:val="6CC5B75C"/>
    <w:rsid w:val="6CD1A35F"/>
    <w:rsid w:val="6D3D0866"/>
    <w:rsid w:val="6E3CDDF6"/>
    <w:rsid w:val="6EBC8E4C"/>
    <w:rsid w:val="6F4B7380"/>
    <w:rsid w:val="6F5A2E3A"/>
    <w:rsid w:val="6FB3FC88"/>
    <w:rsid w:val="703270AE"/>
    <w:rsid w:val="703ADC63"/>
    <w:rsid w:val="705F0245"/>
    <w:rsid w:val="706C8F2B"/>
    <w:rsid w:val="71206B23"/>
    <w:rsid w:val="715E84E3"/>
    <w:rsid w:val="71748ADA"/>
    <w:rsid w:val="719D2067"/>
    <w:rsid w:val="71ABBACF"/>
    <w:rsid w:val="721C2C4F"/>
    <w:rsid w:val="72389F8B"/>
    <w:rsid w:val="72482378"/>
    <w:rsid w:val="724CB4D5"/>
    <w:rsid w:val="729D34BD"/>
    <w:rsid w:val="72CBB49C"/>
    <w:rsid w:val="732E678E"/>
    <w:rsid w:val="7385EFB3"/>
    <w:rsid w:val="73907F82"/>
    <w:rsid w:val="74E98F55"/>
    <w:rsid w:val="755761E7"/>
    <w:rsid w:val="7562856D"/>
    <w:rsid w:val="75CD1394"/>
    <w:rsid w:val="76F5EFC7"/>
    <w:rsid w:val="772862E6"/>
    <w:rsid w:val="776B1225"/>
    <w:rsid w:val="7785E949"/>
    <w:rsid w:val="77B943DF"/>
    <w:rsid w:val="78488CE3"/>
    <w:rsid w:val="784F5523"/>
    <w:rsid w:val="78A425F2"/>
    <w:rsid w:val="78E172FC"/>
    <w:rsid w:val="7939B5C8"/>
    <w:rsid w:val="798C05D2"/>
    <w:rsid w:val="79950787"/>
    <w:rsid w:val="79C0CCBB"/>
    <w:rsid w:val="79C71C90"/>
    <w:rsid w:val="79DCBDC9"/>
    <w:rsid w:val="7A1699F2"/>
    <w:rsid w:val="7A2F3C88"/>
    <w:rsid w:val="7A8B6BFA"/>
    <w:rsid w:val="7AA4ABC8"/>
    <w:rsid w:val="7AB02500"/>
    <w:rsid w:val="7B327CC7"/>
    <w:rsid w:val="7B4FD102"/>
    <w:rsid w:val="7BADFCED"/>
    <w:rsid w:val="7C319C7D"/>
    <w:rsid w:val="7C463758"/>
    <w:rsid w:val="7C8086B9"/>
    <w:rsid w:val="7CCEAE2B"/>
    <w:rsid w:val="7CE85E95"/>
    <w:rsid w:val="7D247445"/>
    <w:rsid w:val="7D352052"/>
    <w:rsid w:val="7DA2DF61"/>
    <w:rsid w:val="7DAEC7C4"/>
    <w:rsid w:val="7DB7FBEF"/>
    <w:rsid w:val="7DC0C90D"/>
    <w:rsid w:val="7DD5F2E9"/>
    <w:rsid w:val="7E1E4D17"/>
    <w:rsid w:val="7E952772"/>
    <w:rsid w:val="7EAA0CB6"/>
    <w:rsid w:val="7EC16416"/>
    <w:rsid w:val="7FE5F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12D0661"/>
  <w15:chartTrackingRefBased/>
  <w15:docId w15:val="{C9EC5981-9BB2-4C21-8A54-9EAB8B96C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721A"/>
    <w:pPr>
      <w:spacing w:after="0" w:line="240" w:lineRule="auto"/>
      <w:jc w:val="both"/>
    </w:pPr>
    <w:rPr>
      <w:rFonts w:ascii="Roboto" w:eastAsia="Roboto" w:hAnsi="Roboto" w:cs="Roboto"/>
      <w:color w:val="46484D"/>
      <w:kern w:val="0"/>
      <w:sz w:val="23"/>
      <w:szCs w:val="23"/>
      <w:lang w:val="es" w:eastAsia="ja-JP"/>
      <w14:ligatures w14:val="none"/>
    </w:rPr>
  </w:style>
  <w:style w:type="paragraph" w:styleId="Ttulo1">
    <w:name w:val="heading 1"/>
    <w:basedOn w:val="Normal"/>
    <w:next w:val="Normal"/>
    <w:uiPriority w:val="9"/>
    <w:qFormat/>
    <w:rsid w:val="7A1699F2"/>
    <w:pPr>
      <w:keepNext/>
      <w:keepLines/>
      <w:spacing w:before="360" w:after="80"/>
      <w:outlineLvl w:val="0"/>
    </w:pPr>
    <w:rPr>
      <w:rFonts w:asciiTheme="majorHAnsi" w:eastAsiaTheme="minorEastAsia" w:hAnsiTheme="majorHAnsi" w:cstheme="majorEastAsia"/>
      <w:color w:val="003059" w:themeColor="accent2"/>
      <w:sz w:val="40"/>
      <w:szCs w:val="40"/>
      <w:lang w:val="es-ES"/>
    </w:rPr>
  </w:style>
  <w:style w:type="paragraph" w:styleId="Ttulo2">
    <w:name w:val="heading 2"/>
    <w:basedOn w:val="Normal"/>
    <w:next w:val="Normal"/>
    <w:uiPriority w:val="9"/>
    <w:unhideWhenUsed/>
    <w:qFormat/>
    <w:rsid w:val="1509D2D9"/>
    <w:pPr>
      <w:keepNext/>
      <w:keepLines/>
      <w:spacing w:before="160" w:after="80"/>
      <w:outlineLvl w:val="1"/>
    </w:pPr>
    <w:rPr>
      <w:rFonts w:asciiTheme="majorHAnsi" w:eastAsiaTheme="minorEastAsia" w:hAnsiTheme="majorHAnsi" w:cstheme="majorEastAsia"/>
      <w:color w:val="47E7E7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C4B1C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C4B1C"/>
  </w:style>
  <w:style w:type="paragraph" w:styleId="Piedepgina">
    <w:name w:val="footer"/>
    <w:basedOn w:val="Normal"/>
    <w:link w:val="PiedepginaCar"/>
    <w:uiPriority w:val="99"/>
    <w:unhideWhenUsed/>
    <w:rsid w:val="007C4B1C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C4B1C"/>
  </w:style>
  <w:style w:type="paragraph" w:styleId="TDC1">
    <w:name w:val="toc 1"/>
    <w:basedOn w:val="Normal"/>
    <w:next w:val="Normal"/>
    <w:uiPriority w:val="39"/>
    <w:unhideWhenUsed/>
    <w:rsid w:val="7A1699F2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7A1699F2"/>
    <w:rPr>
      <w:color w:val="00EDED" w:themeColor="accent3"/>
      <w:u w:val="single"/>
    </w:rPr>
  </w:style>
  <w:style w:type="paragraph" w:styleId="Prrafodelista">
    <w:name w:val="List Paragraph"/>
    <w:basedOn w:val="Normal"/>
    <w:uiPriority w:val="34"/>
    <w:qFormat/>
    <w:rsid w:val="1509D2D9"/>
    <w:pPr>
      <w:ind w:left="720"/>
      <w:contextualSpacing/>
    </w:pPr>
  </w:style>
  <w:style w:type="paragraph" w:styleId="TDC2">
    <w:name w:val="toc 2"/>
    <w:basedOn w:val="Normal"/>
    <w:next w:val="Normal"/>
    <w:uiPriority w:val="39"/>
    <w:unhideWhenUsed/>
    <w:rsid w:val="1509D2D9"/>
    <w:pPr>
      <w:spacing w:after="100"/>
      <w:ind w:left="220"/>
    </w:p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FFFFFF" w:themeColor="text1"/>
        <w:left w:val="single" w:sz="4" w:space="0" w:color="FFFFFF" w:themeColor="text1"/>
        <w:bottom w:val="single" w:sz="4" w:space="0" w:color="FFFFFF" w:themeColor="text1"/>
        <w:right w:val="single" w:sz="4" w:space="0" w:color="FFFFFF" w:themeColor="text1"/>
        <w:insideH w:val="single" w:sz="4" w:space="0" w:color="FFFFFF" w:themeColor="text1"/>
        <w:insideV w:val="single" w:sz="4" w:space="0" w:color="FFFFFF" w:themeColor="text1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274E36"/>
    <w:pPr>
      <w:spacing w:before="240" w:after="0"/>
      <w:outlineLvl w:val="9"/>
    </w:pPr>
    <w:rPr>
      <w:rFonts w:eastAsiaTheme="majorEastAsia" w:cstheme="majorBidi"/>
      <w:color w:val="47E7E7" w:themeColor="accent1" w:themeShade="BF"/>
      <w:sz w:val="32"/>
      <w:szCs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microsoft.com/office/2020/10/relationships/intelligence" Target="intelligence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https://wgcp.sharepoint.com/sites/Assets/Blend%20Document%20Templates/Blend%20Letterhead%201.dotx" TargetMode="External"/></Relationships>
</file>

<file path=word/theme/theme1.xml><?xml version="1.0" encoding="utf-8"?>
<a:theme xmlns:a="http://schemas.openxmlformats.org/drawingml/2006/main" name="Office Theme">
  <a:themeElements>
    <a:clrScheme name="Blend360">
      <a:dk1>
        <a:srgbClr val="FFFFFF"/>
      </a:dk1>
      <a:lt1>
        <a:srgbClr val="1A1A1A"/>
      </a:lt1>
      <a:dk2>
        <a:srgbClr val="F3F3F0"/>
      </a:dk2>
      <a:lt2>
        <a:srgbClr val="FFFFFF"/>
      </a:lt2>
      <a:accent1>
        <a:srgbClr val="A2F3F3"/>
      </a:accent1>
      <a:accent2>
        <a:srgbClr val="003059"/>
      </a:accent2>
      <a:accent3>
        <a:srgbClr val="00EDED"/>
      </a:accent3>
      <a:accent4>
        <a:srgbClr val="304550"/>
      </a:accent4>
      <a:accent5>
        <a:srgbClr val="1A1A1A"/>
      </a:accent5>
      <a:accent6>
        <a:srgbClr val="0B0D0E"/>
      </a:accent6>
      <a:hlink>
        <a:srgbClr val="00EDED"/>
      </a:hlink>
      <a:folHlink>
        <a:srgbClr val="954F72"/>
      </a:folHlink>
    </a:clrScheme>
    <a:fontScheme name="Custom 2">
      <a:majorFont>
        <a:latin typeface="Montserrat Black"/>
        <a:ea typeface=""/>
        <a:cs typeface=""/>
      </a:majorFont>
      <a:minorFont>
        <a:latin typeface="Montserra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51ed564-f2f8-468f-a388-e07184f1c0a6" xsi:nil="true"/>
    <lcf76f155ced4ddcb4097134ff3c332f xmlns="275c1206-a37b-4f22-88c9-a3db5fceade2">
      <Terms xmlns="http://schemas.microsoft.com/office/infopath/2007/PartnerControls"/>
    </lcf76f155ced4ddcb4097134ff3c332f>
    <MigrationSourceID xmlns="b51ed564-f2f8-468f-a388-e07184f1c0a6" xsi:nil="true"/>
    <Metadata xmlns="275c1206-a37b-4f22-88c9-a3db5fceade2" xsi:nil="true"/>
    <Tag xmlns="275c1206-a37b-4f22-88c9-a3db5fceade2" xsi:nil="true"/>
    <Ubicaci_x00f3_n xmlns="275c1206-a37b-4f22-88c9-a3db5fceade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87321ADF990554C99469D38E0963953" ma:contentTypeVersion="25" ma:contentTypeDescription="Crear nuevo documento." ma:contentTypeScope="" ma:versionID="0ff0edb78055d15912fe15121f4b413d">
  <xsd:schema xmlns:xsd="http://www.w3.org/2001/XMLSchema" xmlns:xs="http://www.w3.org/2001/XMLSchema" xmlns:p="http://schemas.microsoft.com/office/2006/metadata/properties" xmlns:ns2="b51ed564-f2f8-468f-a388-e07184f1c0a6" xmlns:ns3="275c1206-a37b-4f22-88c9-a3db5fceade2" targetNamespace="http://schemas.microsoft.com/office/2006/metadata/properties" ma:root="true" ma:fieldsID="743cecb10e542df0136df2da7abf08e9" ns2:_="" ns3:_="">
    <xsd:import namespace="b51ed564-f2f8-468f-a388-e07184f1c0a6"/>
    <xsd:import namespace="275c1206-a37b-4f22-88c9-a3db5fceade2"/>
    <xsd:element name="properties">
      <xsd:complexType>
        <xsd:sequence>
          <xsd:element name="documentManagement">
            <xsd:complexType>
              <xsd:all>
                <xsd:element ref="ns2:MigrationSource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CR" minOccurs="0"/>
                <xsd:element ref="ns3:MediaServiceBillingMetadata" minOccurs="0"/>
                <xsd:element ref="ns3:Metadata" minOccurs="0"/>
                <xsd:element ref="ns3:Tag" minOccurs="0"/>
                <xsd:element ref="ns3:Ubicaci_x00f3_n" minOccurs="0"/>
                <xsd:element ref="ns3:CountryOrRegion53c39da0-bc53-4b02-8835-da9416d103ee" minOccurs="0"/>
                <xsd:element ref="ns3:State53c39da0-bc53-4b02-8835-da9416d103ee" minOccurs="0"/>
                <xsd:element ref="ns3:City53c39da0-bc53-4b02-8835-da9416d103ee" minOccurs="0"/>
                <xsd:element ref="ns3:PostalCode53c39da0-bc53-4b02-8835-da9416d103ee" minOccurs="0"/>
                <xsd:element ref="ns3:Street53c39da0-bc53-4b02-8835-da9416d103ee" minOccurs="0"/>
                <xsd:element ref="ns3:GeoLoc53c39da0-bc53-4b02-8835-da9416d103ee" minOccurs="0"/>
                <xsd:element ref="ns3:DispName53c39da0-bc53-4b02-8835-da9416d103e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1ed564-f2f8-468f-a388-e07184f1c0a6" elementFormDefault="qualified">
    <xsd:import namespace="http://schemas.microsoft.com/office/2006/documentManagement/types"/>
    <xsd:import namespace="http://schemas.microsoft.com/office/infopath/2007/PartnerControls"/>
    <xsd:element name="MigrationSourceID" ma:index="8" nillable="true" ma:displayName="MigrationSourceID" ma:internalName="MigrationSourceID" ma:readOnly="true">
      <xsd:simpleType>
        <xsd:restriction base="dms:Text"/>
      </xsd:simpleType>
    </xsd:element>
    <xsd:element name="TaxCatchAll" ma:index="19" nillable="true" ma:displayName="Taxonomy Catch All Column" ma:hidden="true" ma:list="{cf34abfc-444c-4adb-8fbc-9657ba37fabe}" ma:internalName="TaxCatchAll" ma:showField="CatchAllData" ma:web="b51ed564-f2f8-468f-a388-e07184f1c0a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5c1206-a37b-4f22-88c9-a3db5fcead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12b4ba89-8ace-419e-814f-6a2e402f621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tadata" ma:index="23" nillable="true" ma:displayName="Metadata" ma:description="incluirar el nombre del documento de acuerdo a la estructura " ma:format="Dropdown" ma:internalName="Metadata">
      <xsd:simpleType>
        <xsd:restriction base="dms:Text">
          <xsd:maxLength value="255"/>
        </xsd:restriction>
      </xsd:simpleType>
    </xsd:element>
    <xsd:element name="Tag" ma:index="24" nillable="true" ma:displayName="Tag" ma:description="numeracion de referencia" ma:format="Dropdown" ma:internalName="Tag">
      <xsd:simpleType>
        <xsd:restriction base="dms:Text">
          <xsd:maxLength value="255"/>
        </xsd:restriction>
      </xsd:simpleType>
    </xsd:element>
    <xsd:element name="Ubicaci_x00f3_n" ma:index="25" nillable="true" ma:displayName="Ubicación" ma:format="Dropdown" ma:internalName="Ubicaci_x00f3_n">
      <xsd:simpleType>
        <xsd:restriction base="dms:Unknown"/>
      </xsd:simpleType>
    </xsd:element>
    <xsd:element name="CountryOrRegion53c39da0-bc53-4b02-8835-da9416d103ee" ma:index="26" nillable="true" ma:displayName="Ubicación: País o región" ma:internalName="CountryOrRegion" ma:readOnly="true">
      <xsd:simpleType>
        <xsd:restriction base="dms:Text"/>
      </xsd:simpleType>
    </xsd:element>
    <xsd:element name="State53c39da0-bc53-4b02-8835-da9416d103ee" ma:index="27" nillable="true" ma:displayName="Ubicación: estado" ma:internalName="State" ma:readOnly="true">
      <xsd:simpleType>
        <xsd:restriction base="dms:Text"/>
      </xsd:simpleType>
    </xsd:element>
    <xsd:element name="City53c39da0-bc53-4b02-8835-da9416d103ee" ma:index="28" nillable="true" ma:displayName="Ubicación: ciudad" ma:internalName="City" ma:readOnly="true">
      <xsd:simpleType>
        <xsd:restriction base="dms:Text"/>
      </xsd:simpleType>
    </xsd:element>
    <xsd:element name="PostalCode53c39da0-bc53-4b02-8835-da9416d103ee" ma:index="29" nillable="true" ma:displayName="Ubicación: Código postal" ma:internalName="PostalCode" ma:readOnly="true">
      <xsd:simpleType>
        <xsd:restriction base="dms:Text"/>
      </xsd:simpleType>
    </xsd:element>
    <xsd:element name="Street53c39da0-bc53-4b02-8835-da9416d103ee" ma:index="30" nillable="true" ma:displayName="Ubicación: calle" ma:internalName="Street" ma:readOnly="true">
      <xsd:simpleType>
        <xsd:restriction base="dms:Text"/>
      </xsd:simpleType>
    </xsd:element>
    <xsd:element name="GeoLoc53c39da0-bc53-4b02-8835-da9416d103ee" ma:index="31" nillable="true" ma:displayName="Ubicación: coordenadas" ma:internalName="GeoLoc" ma:readOnly="true">
      <xsd:simpleType>
        <xsd:restriction base="dms:Unknown"/>
      </xsd:simpleType>
    </xsd:element>
    <xsd:element name="DispName53c39da0-bc53-4b02-8835-da9416d103ee" ma:index="32" nillable="true" ma:displayName="Ubicación: nombre" ma:internalName="DispNam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DAD0959-764E-4B4E-950A-C2654C3487A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CF4775B-9016-442E-9CA2-081DDD36C08D}">
  <ds:schemaRefs>
    <ds:schemaRef ds:uri="http://schemas.microsoft.com/office/2006/metadata/properties"/>
    <ds:schemaRef ds:uri="http://schemas.microsoft.com/office/infopath/2007/PartnerControls"/>
    <ds:schemaRef ds:uri="b51ed564-f2f8-468f-a388-e07184f1c0a6"/>
    <ds:schemaRef ds:uri="275c1206-a37b-4f22-88c9-a3db5fceade2"/>
  </ds:schemaRefs>
</ds:datastoreItem>
</file>

<file path=customXml/itemProps3.xml><?xml version="1.0" encoding="utf-8"?>
<ds:datastoreItem xmlns:ds="http://schemas.openxmlformats.org/officeDocument/2006/customXml" ds:itemID="{1EE02CE1-AC3F-4FF5-B7BE-AC8DED322CC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649D1ED-40DD-4FF9-9622-99FDEDE6C8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51ed564-f2f8-468f-a388-e07184f1c0a6"/>
    <ds:schemaRef ds:uri="275c1206-a37b-4f22-88c9-a3db5fcead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Blend%20Letterhead%201</Template>
  <TotalTime>2</TotalTime>
  <Pages>2</Pages>
  <Words>108</Words>
  <Characters>596</Characters>
  <Application>Microsoft Office Word</Application>
  <DocSecurity>0</DocSecurity>
  <Lines>4</Lines>
  <Paragraphs>1</Paragraphs>
  <ScaleCrop>false</ScaleCrop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Yidaido Rojas</dc:creator>
  <cp:keywords/>
  <dc:description/>
  <cp:lastModifiedBy>Alejandra Ardila</cp:lastModifiedBy>
  <cp:revision>3</cp:revision>
  <dcterms:created xsi:type="dcterms:W3CDTF">2026-04-14T15:20:00Z</dcterms:created>
  <dcterms:modified xsi:type="dcterms:W3CDTF">2026-04-17T19:50:00Z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0x010100287321ADF990554C99469D38E0963953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  <property fmtid="{D5CDD505-2E9C-101B-9397-08002B2CF9AE}" pid="10" name="_SourceUrl">
    <vt:lpwstr/>
  </property>
  <property fmtid="{D5CDD505-2E9C-101B-9397-08002B2CF9AE}" pid="11" name="_SharedFileIndex">
    <vt:lpwstr/>
  </property>
</Properties>
</file>