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Sesión B · Guía práctica del participante</w:t>
      </w:r>
    </w:p>
    <w:p>
      <w:pPr>
        <w:pStyle w:val="Cuerpodetextosubt"/>
        <w:bidi w:val="0"/>
        <w:jc w:val="left"/>
        <w:rPr/>
      </w:pPr>
      <w:r>
        <w:rPr/>
        <w:t>Publicación en IAPOL y Analítica Geoespacial (IAMAPS) — Duración: 180 minutos</w:t>
      </w:r>
    </w:p>
    <w:p>
      <w:pPr>
        <w:pStyle w:val="BodyText"/>
        <w:bidi w:val="0"/>
        <w:jc w:val="left"/>
        <w:rPr/>
      </w:pPr>
      <w:r>
        <w:rPr/>
        <w:t>Guía de uso práctico para la Sesión B: publicación del dashboard en Amazon Quick, identificadores, el flujo de implementación/registro en IAPOL y la Analítica Geoespacial (IAMAPS), usando tu propio dataset.</w:t>
      </w:r>
    </w:p>
    <w:p>
      <w:pPr>
        <w:pStyle w:val="BodyText"/>
        <w:bidi w:val="0"/>
        <w:jc w:val="left"/>
        <w:rPr/>
      </w:pPr>
      <w:r>
        <w:rPr>
          <w:rStyle w:val="Strong"/>
        </w:rPr>
        <w:t>Importante:</w:t>
      </w:r>
      <w:r>
        <w:rPr/>
        <w:t xml:space="preserve"> los nombres y pasos (cuenta, dashboard, identificadores, rutas del portal) son ejemplos o explicaciones conceptuales. La plataforma de la capacitación no ejecuta operaciones reales en AWS ni en IAPOL; el registro en IAPOL se explica, no se ejecuta durante la práctica.</w:t>
      </w:r>
    </w:p>
    <w:p>
      <w:pPr>
        <w:pStyle w:val="Heading2"/>
        <w:bidi w:val="0"/>
        <w:jc w:val="left"/>
        <w:rPr/>
      </w:pPr>
      <w:r>
        <w:rPr/>
        <w:t>Conceptos mínimos de la sesión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Publicación del análisis como dashboard en Amazon Quick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Dashboard ID vs. Analysis ID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Compartir: usuario, grupo o rol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Prerrequisitos del embedding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Registro del tablero en IAPOL (id_quicksight = Dashboard ID)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Visibilidad por módulo/usuario/rol y verificación del embebido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Módulo IAMAPS / Analítica Geoespacial de IAPOL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Catálogo de mapas y mapas históricos (SIEDCO, RNMC, SECAD)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Crear mapa con datos propios (lat/lon): JSON, GeoJSON, CSV, XLS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Datasets, capas, tipos de capa y estilización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Filtros dinámicos y línea de tiempo (campo time)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Exportar/guardar y Anticipación a Fenómenos de Seguridad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Sesión 2 · Publicación en IAPOL y Analítica Geoespacial (IAMAPS)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Retomar el análisis de tres hojas de la Sesión 1.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Fijar los dos grandes bloques de hoy: Quick+IAPOL e IAMAPS. </w:t>
      </w:r>
    </w:p>
    <w:p>
      <w:pPr>
        <w:pStyle w:val="BodyText"/>
        <w:bidi w:val="0"/>
        <w:ind w:hanging="0"/>
        <w:jc w:val="left"/>
        <w:rPr/>
      </w:pPr>
      <w:r>
        <w:rPr/>
        <w:t>Continuamos el laboratorio: cerramos lo práctico de Amazon Quick (publicar el tablero y permisos), lo implementamos en IAPOL y luego dominamos el módulo de Analítica Geoespacial (IAMAPS).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Duración: 180 minutos (práctica guiada "hazlo tú").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Parte 1: finalizar Quick + registrar el tablero en IAPOL.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Parte 2: IAMAPS (mapas, capas, filtros, línea de tiempo).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Simulación local:</w:t>
      </w:r>
      <w:r>
        <w:rPr/>
        <w:t xml:space="preserve"> Material de apoyo: ejecuta en tu cuenta/portal reales y reemplaza las capturas por las de tu entorno.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Punto de partida: el análisis de la Sesión 1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Ubicar el punto de partida de la sesión.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Confirmar el análisis que se publicará. </w:t>
      </w:r>
    </w:p>
    <w:p>
      <w:pPr>
        <w:pStyle w:val="BodyText"/>
        <w:bidi w:val="0"/>
        <w:ind w:hanging="0"/>
        <w:jc w:val="left"/>
        <w:rPr/>
      </w:pPr>
      <w:r>
        <w:rPr/>
        <w:t xml:space="preserve">Partimos del análisis creado en la Sesión 1 </w:t>
      </w:r>
    </w:p>
    <w:p>
      <w:pPr>
        <w:pStyle w:val="Cuerpodetextoimagen-ref"/>
        <w:bidi w:val="0"/>
        <w:jc w:val="left"/>
        <w:rPr/>
      </w:pPr>
      <w:r>
        <w:rPr>
          <w:rStyle w:val="Emphasis"/>
        </w:rPr>
        <w:t>[Imagen: Las tres hojas del análisis: resumen con KPIs y barras, detallado con tabla, y tendencias con líneas.]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Si alguien no terminó la Sesión 1, puede seguir la demostración del instructor o usar el simulador local de la plataforma.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LAB 4 · Publicar el dashboard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Publicar el dashboard.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Publica el análisis como dashboard con un nombre claro y versionable.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dashboard aparece en la sección de dashboards.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LAB 4 · Obtener el Dashboard ID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Localizar y guardar el Dashboard ID.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Abre el dashboard publicado y localiza su Dashboard ID.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Tienes el Dashboard ID copiado.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El Analysis ID (editable) y el Dashboard ID (publicado) son distintos. El embebido referencia el Dashboard ID.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LAB 4 · Prerrequisitos del embebido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Enumerar los prerrequisitos del embebido.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Separar "tener el ID" de "poder embeber". </w:t>
      </w:r>
    </w:p>
    <w:p>
      <w:pPr>
        <w:pStyle w:val="BodyText"/>
        <w:bidi w:val="0"/>
        <w:ind w:hanging="0"/>
        <w:jc w:val="left"/>
        <w:rPr/>
      </w:pPr>
      <w:r>
        <w:rPr/>
        <w:t>Copiar una URL o un identificador NO habilita por sí solo el embebido en otro portal. Hay prerrequisitos técnicos que deben cumplirse.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Autenticación y autorización del usuario que visualiza.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Configuración de embedding habilitada para el dashboard.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Dominios permitidos / políticas de embedding configuradas.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Registro institucional del recurso (en IAPOL, en el LAB 5).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IAPOL:</w:t>
      </w:r>
      <w:r>
        <w:rPr/>
        <w:t xml:space="preserve"> La habilitación técnica del embebido y el registro en IAPOL son pasos distintos; ambos deben completarse para ver el tablero embebido.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LAB 5 · Entrar al registro de IAPOL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Ubicar la interfaz de registro de recursos en IAPOL. </w:t>
      </w:r>
    </w:p>
    <w:p>
      <w:pPr>
        <w:pStyle w:val="BodyText"/>
        <w:bidi w:val="0"/>
        <w:ind w:hanging="0"/>
        <w:jc w:val="left"/>
        <w:rPr/>
      </w:pPr>
      <w:r>
        <w:rPr/>
        <w:t>En IAPOL, el tablero publicado en Quick se registra para poder visualizarlo embebido. El inventario de IAPOL guarda el Dashboard ID bajo el campo id_quicksight.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Ingresa a la interfaz administrativa de IAPOL donde se registran los recursos.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Ves el formulario de registro del recurso.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LAB 5 · Registrar el Dashboard ID (id_quicksight)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Registrar el tablero en IAPOL con id_quicksight.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Registra el tablero pegando el Dashboard ID en el campo id_quicksight.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recurso queda registrado con su id_quicksight.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Simulación local:</w:t>
      </w:r>
      <w:r>
        <w:rPr/>
        <w:t xml:space="preserve"> Rutas, botones y nombres exactos de IAPOL deben cotejarse con el portal vigente. Reemplaza estas capturas por las de tu entorno.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LAB 5 · Asociar módulo y visibilidad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Configurar módulo y visibilidad.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Asocia el módulo/submódulo y la visibilidad por usuario o rol.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La visibilidad queda definida para los perfiles previstos.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LAB 5 · Identificadores: Quick e IAPOL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Relacionar el Dashboard ID de Quick con el id_quicksight de IAPOL. </w:t>
      </w:r>
    </w:p>
    <w:p>
      <w:pPr>
        <w:pStyle w:val="Cuerpodetextoimagen-ref"/>
        <w:bidi w:val="0"/>
        <w:ind w:hanging="0"/>
        <w:jc w:val="left"/>
        <w:rPr/>
      </w:pPr>
      <w:r>
        <w:rPr>
          <w:rStyle w:val="Emphasis"/>
        </w:rPr>
        <w:t>[Imagen: Dataset/Analysis/Dashboard ID en Amazon Quick; en IAPOL, id_quicksight guarda el mismo valor que el Dashboard ID.]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LAB 5 · Verificar el tablero embebido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Verificar el embebido en IAPOL.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Aplicar diagnóstico si no se visualiza.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Abre el módulo de IAPOL donde quedó asociado el tablero.</w:t>
      </w:r>
    </w:p>
    <w:p>
      <w:pPr>
        <w:pStyle w:val="BodyText"/>
        <w:numPr>
          <w:ilvl w:val="0"/>
          <w:numId w:val="0"/>
        </w:numPr>
        <w:bidi w:val="0"/>
        <w:spacing w:before="105" w:after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dashboard se ve embebido y responde a la interacción.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Si no se ve, aplica la lista de diagnóstico.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Identificas la causa y la corriges.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LAB 5 · Flujo de integración con IAPOL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Ver el flujo completo de integración Quick → IAPOL. </w:t>
      </w:r>
    </w:p>
    <w:p>
      <w:pPr>
        <w:pStyle w:val="Cuerpodetextoimagen-ref"/>
        <w:bidi w:val="0"/>
        <w:ind w:hanging="0"/>
        <w:jc w:val="left"/>
        <w:rPr/>
      </w:pPr>
      <w:r>
        <w:rPr>
          <w:rStyle w:val="Emphasis"/>
        </w:rPr>
        <w:t>[Imagen: Flujo conceptual: publicar en Quick, localizar el Dashboard ID y, como proceso institucional, registrar y verificar el embebido en IAPOL.]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Diagnóstico · El tablero no se ve en IAPOL pese a tener el ID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Enumerar causas posibles del fallo de visualización.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Actuar con evidencia, no por suposición. </w:t>
      </w:r>
    </w:p>
    <w:p>
      <w:pPr>
        <w:pStyle w:val="BodyText"/>
        <w:bidi w:val="0"/>
        <w:ind w:hanging="0"/>
        <w:jc w:val="left"/>
        <w:rPr/>
      </w:pPr>
      <w:r>
        <w:rPr/>
        <w:t>Causas posibles (no un diagnóstico definitivo sin evidencia):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El recurso no quedó registrado correctamente en la interfaz de IAPOL.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El embedding no está habilitado o faltan dominios/políticas.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El id_quicksight no coincide con el Dashboard ID vigente (quedó uno antiguo).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La visibilidad por módulo/usuario/rol no habilita al que consulta.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Permisos del dataset/dashboard insuficientes para el usuario final.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Confirma con evidencia del entorno (registro, permisos, estado del dataset y configuración) antes de concluir.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Parte 2 · Analítica Geoespacial (IAMAPS)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Abrir la segunda mitad práctica: IAMAPS.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Ver el flujo de trabajo geoespacial. </w:t>
      </w:r>
    </w:p>
    <w:p>
      <w:pPr>
        <w:pStyle w:val="BodyText"/>
        <w:bidi w:val="0"/>
        <w:ind w:hanging="0"/>
        <w:jc w:val="left"/>
        <w:rPr/>
      </w:pPr>
      <w:r>
        <w:rPr/>
        <w:t>Segunda mitad de la sesión: el módulo de Analítica Geoespacial de IAPOL. Ubicaremos fuentes de información sobre el mapa del país y construiremos visualizaciones por capas.</w:t>
      </w:r>
    </w:p>
    <w:p>
      <w:pPr>
        <w:pStyle w:val="Cuerpodetextoimagen-ref"/>
        <w:bidi w:val="0"/>
        <w:jc w:val="left"/>
        <w:rPr/>
      </w:pPr>
      <w:r>
        <w:rPr>
          <w:rStyle w:val="Emphasis"/>
        </w:rPr>
        <w:t>[Imagen: Flujo del módulo: cargar datos con lat/lon, configurar capas, aplicar filtros y guardar o exportar el mapa.]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LAB 6 · Acceder al módulo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Entrar al módulo de Analítica Geoespacial. </w:t>
      </w:r>
    </w:p>
    <w:p>
      <w:pPr>
        <w:pStyle w:val="BodyText"/>
        <w:bidi w:val="0"/>
        <w:ind w:hanging="0"/>
        <w:jc w:val="left"/>
        <w:rPr/>
      </w:pPr>
      <w:r>
        <w:rPr/>
        <w:t>Cada mapa del catálogo se etiqueta con la SIGLA de su unidad.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En la barra de menú derecha, selecciona "Analítica Geoespacial".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Se abre el catálogo de mapas del módulo.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LAB 6 · Navegar el catálogo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Buscar y filtrar mapas en el catálogo.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Busca un mapa por palabra clave y filtra por unidad.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listado se reduce a los mapas que coinciden.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LAB 6 · Abrir un mapa histórico (SIEDCO/RNMC/SECAD)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Abrir y leer un mapa histórico.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Filtrar por tipo de delito base. </w:t>
      </w:r>
    </w:p>
    <w:p>
      <w:pPr>
        <w:pStyle w:val="BodyText"/>
        <w:bidi w:val="0"/>
        <w:ind w:hanging="0"/>
        <w:jc w:val="left"/>
        <w:rPr/>
      </w:pPr>
      <w:r>
        <w:rPr/>
        <w:t>Los mapas históricos están en el grupo "Análisis de seguridad".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Abre un mapa del grupo "Análisis de seguridad".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Tras la carga, se ven los datos sobre el mapa.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LAB 7 · Crear un mapa con datos nuevos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Iniciar la creación de un mapa propio.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Recordar el requisito de coordenadas.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Haz clic en el botón "Nuevo mapa".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Se abre la pantalla de cargue de datos.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Los datos deben contar con latitud y longitud para poder ubicarlos en el mapa.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LAB 7 · Formatos de datos admitidos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Conocer los formatos admitidos y el requisito de lat/lon. </w:t>
      </w:r>
    </w:p>
    <w:p>
      <w:pPr>
        <w:pStyle w:val="Cuerpodetextoimagen-ref"/>
        <w:bidi w:val="0"/>
        <w:ind w:hanging="0"/>
        <w:jc w:val="left"/>
        <w:rPr/>
      </w:pPr>
      <w:r>
        <w:rPr>
          <w:rStyle w:val="Emphasis"/>
        </w:rPr>
        <w:t>[Imagen: Formatos admitidos JSON, GeoJSON, CSV y XLS; cada registro necesita lat/lon.]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LAB 7 · Cargar fuentes de datos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Cargar fuentes de datos y confirmar filas.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Arrastra el archivo o usa "Browse your files". Suma fuentes con "Add Data".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La fuente aparece abajo con su nombre y cantidad de filas.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LAB 7 · Crear una capa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Crear y nombrar una capa desde un dataset.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En el panel de capas, haz clic en "Add Layer" y elige el dataset.</w:t>
      </w:r>
    </w:p>
    <w:p>
      <w:pPr>
        <w:pStyle w:val="BodyText"/>
        <w:numPr>
          <w:ilvl w:val="0"/>
          <w:numId w:val="0"/>
        </w:numPr>
        <w:bidi w:val="0"/>
        <w:spacing w:before="105" w:after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Se crea una capa asociada al dataset elegido.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Cambia el nombre de la capa para reconocerla fácilmente.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La capa muestra el nombre que le asignaste.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Un dataset puede alimentar varias capas; cada capa se configura por separado y conviven en el mismo mapa.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LAB 7 · Elegir el tipo de capa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Abrir la configuración de la capa.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Elegir el tipo de capa correcto.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Abre la configuración de la capa (flecha del borde derecho).</w:t>
      </w:r>
    </w:p>
    <w:p>
      <w:pPr>
        <w:pStyle w:val="BodyText"/>
        <w:numPr>
          <w:ilvl w:val="0"/>
          <w:numId w:val="0"/>
        </w:numPr>
        <w:bidi w:val="0"/>
        <w:spacing w:before="105" w:after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Ves el tipo actual de la capa (p. ej. Point).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Selecciona el tipo adecuado según lo que quieras comunicar.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mapa cambia al nuevo tipo de representación.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LAB 7 · Tipos de capa disponibles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Conocer los tipos de capa y cuándo usarlos. </w:t>
      </w:r>
    </w:p>
    <w:p>
      <w:pPr>
        <w:pStyle w:val="Cuerpodetextoimagen-ref"/>
        <w:bidi w:val="0"/>
        <w:ind w:hanging="0"/>
        <w:jc w:val="left"/>
        <w:rPr/>
      </w:pPr>
      <w:r>
        <w:rPr>
          <w:rStyle w:val="Emphasis"/>
        </w:rPr>
        <w:t>[Imagen: Tipos de capa: puntos, líneas, arcos, hexágonos, polígonos, calor y columnas.]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LAB 7 · Estilizar y agrupar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Personalizar color, borde, tamaño y etiqueta.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Usar agrupación para detectar patrones. </w:t>
      </w:r>
    </w:p>
    <w:p>
      <w:pPr>
        <w:pStyle w:val="BodyText"/>
        <w:bidi w:val="0"/>
        <w:ind w:hanging="0"/>
        <w:jc w:val="left"/>
        <w:rPr/>
      </w:pPr>
      <w:r>
        <w:rPr/>
        <w:t>En una capa de puntos se pueden ajustar atributos visuales (Fill Color, Outline, Radius y Label) y, para ver concentraciones, cambiar a hexágonos o mapa de calor.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Varias capas pueden combinarse en el mismo mapa; configura cada una por separado.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24. LAB 8 · Filtros dinámicos y línea de tiempo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Crear filtros por campo y por fecha.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Usar la línea de tiempo (reproducir y seleccionar rango). </w:t>
      </w:r>
    </w:p>
    <w:p>
      <w:pPr>
        <w:pStyle w:val="BodyText"/>
        <w:bidi w:val="0"/>
        <w:ind w:hanging="0"/>
        <w:jc w:val="left"/>
        <w:rPr/>
      </w:pPr>
      <w:r>
        <w:rPr/>
        <w:t>Un campo de fecha activa la línea de tiempo (se marca como "time").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Agrega un filtro por un campo (p. ej. "delito") y elige un valor.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mapa muestra solo lo filtrado.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También puedes filtrar por base (p. ej. mostrar solo SIEDCO y RNMC).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25. LAB 8 · Filtros y línea de tiempo (vista general)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Ubicar el panel de filtros, la línea de tiempo y el tooltip en la interfaz. </w:t>
      </w:r>
    </w:p>
    <w:p>
      <w:pPr>
        <w:pStyle w:val="Cuerpodetextoimagen-ref"/>
        <w:bidi w:val="0"/>
        <w:ind w:hanging="0"/>
        <w:jc w:val="left"/>
        <w:rPr/>
      </w:pPr>
      <w:r>
        <w:rPr>
          <w:rStyle w:val="Emphasis"/>
        </w:rPr>
        <w:t>[Imagen: Panel de filtros, mapa filtrado, línea de tiempo y tooltip.]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26. LAB 8 · Tooltips, exportar y guardar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Leer el detalle con tooltips.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Exportar y guardar el mapa en el catálogo.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Haz clic sobre un dato de la capa para ver su tooltip.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Ves los campos del registro (delito, fecha, base, etc.).</w:t>
      </w:r>
    </w:p>
    <w:p>
      <w:pPr>
        <w:pStyle w:val="BodyText"/>
        <w:bidi w:val="0"/>
        <w:jc w:val="left"/>
        <w:rPr/>
      </w:pPr>
      <w:r>
        <w:rPr/>
        <w:t>Además, se puede exportar el mapa como imagen y como configuración (compartible/reproducible), y guardarlo en el catálogo con nombre, descripción y grupo.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27. LAB 9 · Anticipación a Fenómenos de Seguridad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Explorar el mapa de anticipación y sus capas.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Usar la búsqueda por unidades. </w:t>
      </w:r>
    </w:p>
    <w:p>
      <w:pPr>
        <w:pStyle w:val="BodyText"/>
        <w:bidi w:val="0"/>
        <w:ind w:hanging="0"/>
        <w:jc w:val="left"/>
        <w:rPr/>
      </w:pPr>
      <w:r>
        <w:rPr/>
        <w:t>Mapa multicapa para predecir y gestionar fenómenos de seguridad. Se puede abrir el mapa "Anticipación a Fenómenos de Seguridad" y gestionar sus capas, y usar "Buscar unidad" para localizar una estación, CAI o metropolitana.</w:t>
      </w:r>
    </w:p>
    <w:p>
      <w:pPr>
        <w:pStyle w:val="Cuerpodetextoimagen-ref"/>
        <w:bidi w:val="0"/>
        <w:jc w:val="left"/>
        <w:rPr/>
      </w:pPr>
      <w:r>
        <w:rPr>
          <w:rStyle w:val="Emphasis"/>
        </w:rPr>
        <w:t>[Imagen: Mapa de Anticipación con cuadrantes, patrullas, predicciones, hechos reales y leyenda.]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28. Diagnóstico · Problemas frecuentes en el mapa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Reconocer fallos frecuentes del módulo.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Actuar con evidencia. </w:t>
      </w:r>
    </w:p>
    <w:p>
      <w:pPr>
        <w:pStyle w:val="BodyText"/>
        <w:bidi w:val="0"/>
        <w:ind w:hanging="0"/>
        <w:jc w:val="left"/>
        <w:rPr/>
      </w:pPr>
      <w:r>
        <w:rPr/>
        <w:t>Causas posibles (confirmar con evidencia del entorno):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Los datos no se ubican: faltan latitud/longitud o están en otra columna.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El filtro no cambia el mapa: el campo no coincide o no hay valores.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La línea de tiempo no aparece: el campo no se reconoció como "time".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El mapa guardado no se ve: grupo/visibilidad no habilita al usuario.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Rendimiento lento: demasiados puntos; usa hexágonos o mapa de calor.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No concluyas sin revisar los campos del dataset, el tipo de capa y la configuración del filtro.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29. Checklist y cierre de la Sesión 2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Confirmar que el entregable completo está listo.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Cerrar el programa de dos sesiones.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Dashboard publicado y Dashboard ID anotado.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Dashboard compartido y acceso verificado.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Tablero registrado en IAPOL (id_quicksight) y visibilidad definida.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Embebido verificado en IAPOL.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IAMAPS: mapa propio con datos lat/lon, capas y estilización.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Filtros, línea de tiempo y tooltips usados.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Mapa exportado y guardado en el catálogo.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Mapa de Anticipación explorado y búsqueda por unidad usada.</w:t>
      </w:r>
    </w:p>
    <w:p>
      <w:pPr>
        <w:pStyle w:val="BodyText"/>
        <w:bidi w:val="0"/>
        <w:jc w:val="left"/>
        <w:rPr/>
      </w:pPr>
      <w:r>
        <w:rPr>
          <w:rStyle w:val="Strong"/>
        </w:rPr>
        <w:t>Simulación local:</w:t>
      </w:r>
      <w:r>
        <w:rPr/>
        <w:t xml:space="preserve"> Recuerda: la plataforma es de apoyo. Ejecuta en tu cuenta/portal reales y reemplaza las capturas por las de tu entorno.</w:t>
      </w:r>
    </w:p>
    <w:p>
      <w:pPr>
        <w:pStyle w:val="Cuerpodetextopie"/>
        <w:bidi w:val="0"/>
        <w:spacing w:before="360" w:after="105"/>
        <w:jc w:val="left"/>
        <w:rPr/>
      </w:pPr>
      <w:r>
        <w:rPr/>
        <w:t>Guía generada a partir del contenido de la Sesión B de la plataforma de capacitación. Las rutas y botones exactos de las consolas de AWS y del portal IAPOL pueden variar según la versión vigente de la interfaz.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egoe UI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Segoe UI;Arial;sans-serif" w:hAnsi="Calibri;Segoe UI;Arial;sans-serif" w:eastAsia="Calibri;Segoe UI;Arial;sans-serif" w:cs="Calibri;Segoe UI;Arial;sans-serif"/>
      <w:color w:val="16212E"/>
      <w:sz w:val="22"/>
      <w:szCs w:val="22"/>
      <w:lang w:val="es-ES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8" w:space="5" w:color="00A6A6"/>
      </w:pBdr>
    </w:pPr>
    <w:rPr>
      <w:b/>
      <w:bCs/>
      <w:color w:val="002B49"/>
      <w:sz w:val="44"/>
      <w:szCs w:val="44"/>
    </w:rPr>
  </w:style>
  <w:style w:type="paragraph" w:styleId="Heading2">
    <w:name w:val="heading 2"/>
    <w:basedOn w:val="Ttulo"/>
    <w:next w:val="BodyText"/>
    <w:qFormat/>
    <w:pPr>
      <w:spacing w:before="300" w:after="120"/>
      <w:outlineLvl w:val="1"/>
    </w:pPr>
    <w:rPr>
      <w:rFonts w:ascii="Liberation Serif" w:hAnsi="Liberation Serif" w:eastAsia="Noto Serif CJK SC" w:cs="Noto Sans Devanagari"/>
      <w:b/>
      <w:bCs/>
      <w:color w:val="002B49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Courier New;monospace" w:hAnsi="Consolas;Courier New;monospace" w:eastAsia="Consolas;Courier New;monospace" w:cs="Consolas;Courier New;monospace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05" w:after="105"/>
      <w:ind w:left="105" w:right="105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/>
      <w:shd w:fill="0B1622" w:val="clear"/>
      <w:spacing w:before="0" w:after="0"/>
    </w:pPr>
    <w:rPr>
      <w:rFonts w:ascii="Consolas;Courier New;monospace" w:hAnsi="Consolas;Courier New;monospace" w:eastAsia="Consolas;Courier New;monospace" w:cs="Consolas;Courier New;monospace"/>
      <w:color w:val="E9E6DF"/>
      <w:sz w:val="19"/>
      <w:szCs w:val="19"/>
    </w:rPr>
  </w:style>
  <w:style w:type="paragraph" w:styleId="Cuerpodetextosubt">
    <w:name w:val="Cuerpo de texto.subt"/>
    <w:basedOn w:val="BodyText"/>
    <w:qFormat/>
    <w:pPr>
      <w:spacing w:before="0" w:after="105"/>
    </w:pPr>
    <w:rPr>
      <w:color w:val="44546A"/>
      <w:sz w:val="24"/>
      <w:szCs w:val="24"/>
    </w:rPr>
  </w:style>
  <w:style w:type="paragraph" w:styleId="Cuerpodetextoimagen-ref">
    <w:name w:val="Cuerpo de texto.imagen-ref"/>
    <w:basedOn w:val="BodyText"/>
    <w:qFormat/>
    <w:pPr/>
    <w:rPr>
      <w:color w:val="5F6B7A"/>
      <w:sz w:val="20"/>
      <w:szCs w:val="20"/>
    </w:rPr>
  </w:style>
  <w:style w:type="paragraph" w:styleId="Cuerpodetextopie">
    <w:name w:val="Cuerpo de texto.pie"/>
    <w:basedOn w:val="BodyText"/>
    <w:qFormat/>
    <w:pPr>
      <w:pBdr>
        <w:top w:val="single" w:sz="2" w:space="6" w:color="D9D6CD"/>
      </w:pBdr>
      <w:spacing w:before="360" w:after="105"/>
    </w:pPr>
    <w:rPr>
      <w:i/>
      <w:iCs/>
      <w:color w:val="5F6B7A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Publicación en IAPOL y Analítica Geoespacial (IAMAPS)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