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3"/>
      </w:pPr>
      <w:r>
        <w:rPr>
          <w:rFonts w:hint="eastAsia"/>
          <w:b/>
          <w:bCs/>
        </w:rPr>
        <w:t xml:space="preserve">会议纪要</w:t>
      </w:r>
    </w:p>
    <w:p>
      <w:pPr>
        <w:pStyle w:val="5"/>
      </w:pPr>
      <w:r>
        <w:rPr>
          <w:rFonts w:hint="eastAsia"/>
          <w:b/>
          <w:bCs/>
        </w:rPr>
        <w:t xml:space="preserve">会议地点：</w:t>
      </w:r>
      <w:r>
        <w:t xml:space="preserve"> </w:t>
      </w:r>
      <w:r>
        <w:rPr>
          <w:rFonts w:hint="eastAsia"/>
        </w:rPr>
        <w:t xml:space="preserve">外滩会议室</w:t>
      </w:r>
      <w:r>
        <w:br/>
      </w:r>
      <w:r>
        <w:rPr>
          <w:rFonts w:hint="eastAsia"/>
          <w:b/>
          <w:bCs/>
        </w:rPr>
        <w:t xml:space="preserve">会议时间：</w:t>
      </w:r>
      <w:r>
        <w:t xml:space="preserve"> </w:t>
      </w:r>
      <w:r>
        <w:rPr>
          <w:rFonts w:hint="eastAsia"/>
        </w:rPr>
        <w:t xml:space="preserve">2025年7月4日</w:t>
      </w:r>
      <w:r>
        <w:t xml:space="preserve"> 13:30</w:t>
      </w:r>
      <w:r>
        <w:br/>
      </w:r>
      <w:r>
        <w:rPr>
          <w:rFonts w:hint="eastAsia"/>
          <w:b/>
          <w:bCs/>
        </w:rPr>
        <w:t xml:space="preserve">参会人员：</w:t>
      </w:r>
      <w:r>
        <w:t xml:space="preserve"> </w:t>
      </w:r>
      <w:r>
        <w:rPr>
          <w:rFonts w:hint="eastAsia"/>
        </w:rPr>
        <w:t xml:space="preserve">徐总，史总，经老师，陈佳荣</w:t>
      </w:r>
    </w:p>
    <w:p>
      <w:pPr>
        <w:pStyle w:val="5"/>
      </w:pPr>
      <w:r>
        <w:rPr>
          <w:rFonts w:hint="eastAsia"/>
          <w:b/>
          <w:bCs/>
        </w:rPr>
        <w:t xml:space="preserve">会议内容：</w:t>
      </w:r>
    </w:p>
    <w:p>
      <w:pPr>
        <w:pStyle w:val="14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项目节奏：</w:t>
      </w:r>
    </w:p>
    <w:p>
      <w:pPr>
        <w:pStyle w:val="14"/>
        <w:numPr>
          <w:ilvl w:val="1"/>
          <w:numId w:val="1002"/>
        </w:numPr>
      </w:pPr>
      <w:r>
        <w:rPr>
          <w:rFonts w:hint="eastAsia"/>
        </w:rPr>
        <w:t xml:space="preserve">项目目前稳定推进，但大规模推进需要满足两个条件：</w:t>
      </w:r>
    </w:p>
    <w:p>
      <w:pPr>
        <w:pStyle w:val="14"/>
        <w:numPr>
          <w:ilvl w:val="2"/>
          <w:numId w:val="1003"/>
        </w:numPr>
      </w:pPr>
      <w:r>
        <w:rPr>
          <w:rFonts w:hint="eastAsia"/>
        </w:rPr>
        <w:t xml:space="preserve">平台开发到位</w:t>
      </w:r>
    </w:p>
    <w:p>
      <w:pPr>
        <w:pStyle w:val="14"/>
        <w:numPr>
          <w:ilvl w:val="2"/>
          <w:numId w:val="1003"/>
        </w:numPr>
      </w:pPr>
      <w:r>
        <w:rPr>
          <w:rFonts w:hint="eastAsia"/>
        </w:rPr>
        <w:t xml:space="preserve">设备准备充分，产品定义明确</w:t>
      </w:r>
    </w:p>
    <w:p>
      <w:pPr>
        <w:pStyle w:val="14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产品定义：</w:t>
      </w:r>
    </w:p>
    <w:p>
      <w:pPr>
        <w:pStyle w:val="14"/>
        <w:numPr>
          <w:ilvl w:val="1"/>
          <w:numId w:val="1004"/>
        </w:numPr>
      </w:pPr>
      <w:r>
        <w:rPr>
          <w:rFonts w:hint="eastAsia"/>
        </w:rPr>
        <w:t xml:space="preserve">需要持续进行内部讨论，使产品定义更为成熟。</w:t>
      </w:r>
    </w:p>
    <w:p>
      <w:pPr>
        <w:pStyle w:val="14"/>
        <w:numPr>
          <w:ilvl w:val="1"/>
          <w:numId w:val="1004"/>
        </w:numPr>
      </w:pPr>
      <w:r>
        <w:rPr>
          <w:rFonts w:hint="eastAsia"/>
        </w:rPr>
        <w:t xml:space="preserve">沈阳市场推进工作仍在进行中。</w:t>
      </w:r>
    </w:p>
    <w:p>
      <w:pPr>
        <w:pStyle w:val="14"/>
        <w:numPr>
          <w:ilvl w:val="0"/>
          <w:numId w:val="1001"/>
        </w:numPr>
      </w:pPr>
      <w:r>
        <w:rPr>
          <w:rFonts w:hint="eastAsia"/>
          <w:b/>
          <w:bCs/>
        </w:rPr>
        <w:t xml:space="preserve">DENBA产品曝光：</w:t>
      </w:r>
    </w:p>
    <w:p>
      <w:pPr>
        <w:pStyle w:val="14"/>
        <w:numPr>
          <w:ilvl w:val="1"/>
          <w:numId w:val="1005"/>
        </w:numPr>
      </w:pPr>
      <w:r>
        <w:rPr>
          <w:rFonts w:hint="eastAsia"/>
        </w:rPr>
        <w:t xml:space="preserve">当前曝光率不足，需对工作进行微调。</w:t>
      </w:r>
    </w:p>
    <w:p>
      <w:pPr>
        <w:pStyle w:val="14"/>
        <w:numPr>
          <w:ilvl w:val="1"/>
          <w:numId w:val="1005"/>
        </w:numPr>
      </w:pPr>
      <w:r>
        <w:rPr>
          <w:rFonts w:hint="eastAsia"/>
        </w:rPr>
        <w:t xml:space="preserve">继续推进暗线工作，保持健康平台及“躺赢1001夜”的模式。</w:t>
      </w:r>
    </w:p>
    <w:p>
      <w:pPr>
        <w:pStyle w:val="14"/>
        <w:numPr>
          <w:ilvl w:val="1"/>
          <w:numId w:val="1005"/>
        </w:numPr>
      </w:pPr>
      <w:r>
        <w:rPr>
          <w:rFonts w:hint="eastAsia"/>
        </w:rPr>
        <w:t xml:space="preserve">明线策略：采用销售人员代替广告推广，寻找用户进行试用，目标为上海地区30人，先进行“打窝”工作，探索干休所切入点。</w:t>
      </w:r>
    </w:p>
    <w:p>
      <w:pPr>
        <w:pStyle w:val="14"/>
        <w:numPr>
          <w:ilvl w:val="1"/>
          <w:numId w:val="1005"/>
        </w:numPr>
      </w:pPr>
      <w:r>
        <w:rPr>
          <w:rFonts w:hint="eastAsia"/>
        </w:rPr>
        <w:t xml:space="preserve">推进方式建议：3人一组现场沟通，询问一系列问题，用户体验后再进行一周后的效果评估。</w:t>
      </w:r>
    </w:p>
    <w:p>
      <w:pPr>
        <w:pStyle w:val="14"/>
        <w:numPr>
          <w:ilvl w:val="0"/>
          <w:numId w:val="1001"/>
        </w:numPr>
      </w:pPr>
      <w:r>
        <w:rPr>
          <w:rFonts w:hint="eastAsia"/>
          <w:b/>
          <w:bCs/>
        </w:rPr>
        <w:t xml:space="preserve">皮肤美容研究：</w:t>
      </w:r>
    </w:p>
    <w:p>
      <w:pPr>
        <w:pStyle w:val="14"/>
        <w:numPr>
          <w:ilvl w:val="1"/>
          <w:numId w:val="1006"/>
        </w:numPr>
      </w:pPr>
      <w:r>
        <w:rPr>
          <w:rFonts w:hint="eastAsia"/>
        </w:rPr>
        <w:t xml:space="preserve">请袁老师研究DENBA产品是否能辅助皮肤美容，特别是针对年轻女性的推广。</w:t>
      </w:r>
    </w:p>
    <w:p>
      <w:pPr>
        <w:pStyle w:val="14"/>
        <w:numPr>
          <w:ilvl w:val="1"/>
          <w:numId w:val="1006"/>
        </w:numPr>
      </w:pPr>
      <w:r>
        <w:rPr>
          <w:rFonts w:hint="eastAsia"/>
        </w:rPr>
        <w:t xml:space="preserve">需探讨相关参数支持，如肌肤弹性改善、保湿效果等。</w:t>
      </w:r>
    </w:p>
    <w:p>
      <w:pPr>
        <w:pStyle w:val="14"/>
        <w:numPr>
          <w:ilvl w:val="0"/>
          <w:numId w:val="1001"/>
        </w:numPr>
      </w:pPr>
      <w:r>
        <w:rPr>
          <w:rFonts w:hint="eastAsia"/>
          <w:b/>
          <w:bCs/>
        </w:rPr>
        <w:t xml:space="preserve">试销方案：</w:t>
      </w:r>
    </w:p>
    <w:p>
      <w:pPr>
        <w:pStyle w:val="14"/>
        <w:numPr>
          <w:ilvl w:val="1"/>
          <w:numId w:val="1007"/>
        </w:numPr>
      </w:pPr>
      <w:r>
        <w:rPr>
          <w:rFonts w:hint="eastAsia"/>
        </w:rPr>
        <w:t xml:space="preserve">各方可进行产品试销，阿可索提供基准价格，基准价与最终销售价的差额作为销售者和介绍人的提成。</w:t>
      </w:r>
    </w:p>
    <w:p>
      <w:pPr>
        <w:pStyle w:val="14"/>
        <w:numPr>
          <w:ilvl w:val="1"/>
          <w:numId w:val="1007"/>
        </w:numPr>
      </w:pPr>
      <w:r>
        <w:rPr>
          <w:rFonts w:hint="eastAsia"/>
        </w:rPr>
        <w:t xml:space="preserve">最终销售价需维持在3万元，不得降价。</w:t>
      </w:r>
    </w:p>
    <w:p>
      <w:pPr>
        <w:pStyle w:val="13"/>
      </w:pPr>
      <w:r>
        <w:rPr>
          <w:rFonts w:hint="eastAsia"/>
          <w:b/>
          <w:bCs/>
        </w:rPr>
        <w:t xml:space="preserve">会议结束。</w:t>
      </w:r>
    </w:p>
    <w:sectPr>
      <w:headerReference r:id="rId9" w:type="default"/>
      <w:footnotePr>
        <w:numRestart w:val="eachSect"/>
      </w:footnotePr>
      <w:pgNumType w:fmt="decimal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lancysoft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13104A22"/>
    <w:multiLevelType w:val="multilevel"/>
    <w:tmpl w:val="13104A22"/>
    <w:lvl w:ilvl="0" w:tentative="0">
      <w:start w:val="1"/>
      <w:numFmt w:val="decimal"/>
      <w:pStyle w:val="2"/>
      <w:suff w:val="space"/>
      <w:lvlText w:val="第%1章 "/>
      <w:lvlJc w:val="left"/>
      <w:pPr>
        <w:ind w:firstLine="0" w:left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firstLine="0" w:left="0"/>
      </w:pPr>
    </w:lvl>
    <w:lvl w:ilvl="2" w:tentative="0">
      <w:start w:val="1"/>
      <w:numFmt w:val="decimal"/>
      <w:pStyle w:val="4"/>
      <w:suff w:val="space"/>
      <w:lvlText w:val="%1.%2.%3 "/>
      <w:lvlJc w:val="left"/>
      <w:pPr>
        <w:ind w:firstLine="0" w:left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pos="1364" w:val="left"/>
        </w:tabs>
        <w:ind w:hanging="864" w:left="1148"/>
      </w:pPr>
      <w:rPr>
        <w:rFonts w:hint="eastAsia"/>
      </w:rPr>
    </w:lvl>
    <w:lvl w:ilvl="4" w:tentative="0">
      <w:start w:val="1"/>
      <w:numFmt w:val="decimal"/>
      <w:pStyle w:val="12"/>
      <w:lvlText w:val="%1.%2.%3.%4.%5"/>
      <w:lvlJc w:val="left"/>
      <w:pPr>
        <w:tabs>
          <w:tab w:pos="1724" w:val="left"/>
        </w:tabs>
        <w:ind w:hanging="1008" w:left="129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pos="1436" w:val="left"/>
        </w:tabs>
        <w:ind w:hanging="1152" w:left="1436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pos="1580" w:val="left"/>
        </w:tabs>
        <w:ind w:hanging="1296" w:left="158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pos="1724" w:val="left"/>
        </w:tabs>
        <w:ind w:hanging="1440" w:left="1724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pos="1868" w:val="left"/>
        </w:tabs>
        <w:ind w:hanging="1584" w:left="1868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F13C1"/>
    <w:rsid w:val="17466C70"/>
    <w:rsid w:val="1BFE49F0"/>
    <w:rsid w:val="308F13C1"/>
    <w:rsid w:val="42D23486"/>
    <w:rsid w:val="5B6A2BB2"/>
    <w:rsid w:val="6EC1624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Ascii" w:cs="微软雅黑" w:eastAsiaTheme="minorEastAsia" w:hAnsiTheme="minorAscii"/>
      <w:sz w:val="24"/>
      <w:szCs w:val="24"/>
      <w:lang w:bidi="ar-SA" w:eastAsia="en-US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after="330" w:afterAutospacing="0" w:afterLines="0" w:before="340" w:beforeAutospacing="0" w:beforeLines="0" w:line="576" w:lineRule="auto"/>
      <w:outlineLvl w:val="0"/>
    </w:pPr>
    <w:rPr>
      <w:b/>
      <w:kern w:val="44"/>
      <w:sz w:val="44"/>
    </w:rPr>
  </w:style>
  <w:style w:styleId="3" w:type="paragraph">
    <w:name w:val="heading 2"/>
    <w:basedOn w:val="1"/>
    <w:next w:val="1"/>
    <w:link w:val="11"/>
    <w:unhideWhenUsed/>
    <w:qFormat/>
    <w:uiPriority w:val="0"/>
    <w:pPr>
      <w:keepNext/>
      <w:keepLines/>
      <w:numPr>
        <w:ilvl w:val="1"/>
        <w:numId w:val="1"/>
      </w:numPr>
      <w:adjustRightInd w:val="0"/>
      <w:spacing w:line="240" w:lineRule="auto"/>
      <w:ind w:firstLineChars="0"/>
      <w:outlineLvl w:val="1"/>
    </w:pPr>
    <w:rPr>
      <w:rFonts w:ascii="Arial" w:cs="Times New Roman" w:eastAsia="宋体" w:hAnsi="Arial"/>
      <w:b/>
      <w:sz w:val="32"/>
      <w:lang w:val="zh-CN"/>
    </w:rPr>
  </w:style>
  <w:style w:styleId="4" w:type="paragraph">
    <w:name w:val="heading 3"/>
    <w:basedOn w:val="1"/>
    <w:next w:val="5"/>
    <w:unhideWhenUsed/>
    <w:qFormat/>
    <w:uiPriority w:val="0"/>
    <w:pPr>
      <w:keepNext/>
      <w:keepLines/>
      <w:numPr>
        <w:ilvl w:val="2"/>
        <w:numId w:val="1"/>
      </w:numPr>
      <w:spacing w:after="260" w:afterAutospacing="0" w:afterLines="0" w:before="260" w:beforeAutospacing="0" w:beforeLines="0" w:line="413" w:lineRule="auto"/>
      <w:outlineLvl w:val="2"/>
    </w:pPr>
    <w:rPr>
      <w:b/>
      <w:sz w:val="32"/>
    </w:rPr>
  </w:style>
  <w:style w:styleId="6" w:type="paragraph">
    <w:name w:val="heading 4"/>
    <w:basedOn w:val="1"/>
    <w:next w:val="5"/>
    <w:semiHidden/>
    <w:unhideWhenUsed/>
    <w:qFormat/>
    <w:uiPriority w:val="0"/>
    <w:pPr>
      <w:keepNext/>
      <w:keepLines/>
      <w:numPr>
        <w:ilvl w:val="3"/>
        <w:numId w:val="1"/>
      </w:numPr>
      <w:spacing w:after="290" w:afterAutospacing="0" w:afterLines="0" w:before="280" w:beforeAutospacing="0" w:beforeLines="0" w:line="372" w:lineRule="auto"/>
      <w:ind w:hanging="864" w:left="1148"/>
      <w:outlineLvl w:val="3"/>
    </w:pPr>
    <w:rPr>
      <w:rFonts w:ascii="Arial" w:eastAsia="黑体" w:hAnsi="Arial"/>
      <w:b/>
      <w:sz w:val="28"/>
    </w:rPr>
  </w:style>
  <w:style w:default="1" w:styleId="10" w:type="character">
    <w:name w:val="Default Paragraph Font"/>
    <w:semiHidden/>
    <w:qFormat/>
    <w:uiPriority w:val="0"/>
  </w:style>
  <w:style w:default="1" w:styleId="9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5" w:type="paragraph">
    <w:name w:val="Body Text"/>
    <w:basedOn w:val="1"/>
    <w:qFormat/>
    <w:uiPriority w:val="0"/>
    <w:pPr>
      <w:spacing w:after="180" w:before="180"/>
    </w:pPr>
  </w:style>
  <w:style w:styleId="7" w:type="paragraph">
    <w:name w:val="footer"/>
    <w:basedOn w:val="1"/>
    <w:uiPriority w:val="0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8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customStyle="1" w:styleId="11" w:type="character">
    <w:name w:val="标题 2 字符"/>
    <w:link w:val="3"/>
    <w:qFormat/>
    <w:uiPriority w:val="0"/>
    <w:rPr>
      <w:rFonts w:ascii="Arial" w:cs="Times New Roman" w:eastAsia="宋体" w:hAnsi="Arial"/>
      <w:b/>
      <w:kern w:val="2"/>
      <w:sz w:val="32"/>
      <w:lang w:eastAsia="zh-CN" w:val="zh-CN"/>
    </w:rPr>
  </w:style>
  <w:style w:customStyle="1" w:styleId="12" w:type="paragraph">
    <w:name w:val="_标题5"/>
    <w:basedOn w:val="1"/>
    <w:qFormat/>
    <w:uiPriority w:val="0"/>
    <w:pPr>
      <w:numPr>
        <w:ilvl w:val="4"/>
        <w:numId w:val="1"/>
      </w:numPr>
      <w:ind w:hanging="1008" w:left="1292"/>
    </w:pPr>
  </w:style>
  <w:style w:customStyle="1" w:styleId="13" w:type="paragraph">
    <w:name w:val="First Paragraph"/>
    <w:basedOn w:val="5"/>
    <w:next w:val="5"/>
    <w:qFormat/>
    <w:uiPriority w:val="0"/>
  </w:style>
  <w:style w:customStyle="1" w:styleId="14" w:type="paragraph">
    <w:name w:val="Compact"/>
    <w:basedOn w:val="5"/>
    <w:qFormat/>
    <w:uiPriority w:val="0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2025-07-04T16:37:24Z</dcterms:created>
  <dcterms:modified xsi:type="dcterms:W3CDTF">2025-07-04T16:37:24Z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