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Business Report — Q1 2026</w:t>
      </w:r>
    </w:p>
    <w:p>
      <w:r>
        <w:t>This report summarizes the key performance indicators and strategic initiatives undertaken during the first quarter of 2026. All figures are in USD unless otherwise stated.</w:t>
      </w:r>
    </w:p>
    <w:p>
      <w:pPr>
        <w:pStyle w:val="Heading1"/>
      </w:pPr>
      <w:r>
        <w:t>1. Financial Summary</w:t>
      </w:r>
    </w:p>
    <w:p>
      <w:r>
        <w:t>Total revenue for Q1 2026 reached $4.2M, representing a 15% increase over Q4 2025. Operating expenses remained stable at $2.8M, resulting in an operating margin of 33.3%.</w:t>
      </w:r>
    </w:p>
    <w:p>
      <w:pPr>
        <w:pStyle w:val="Heading2"/>
      </w:pPr>
      <w:r>
        <w:t>Revenue by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 ($M)</w:t>
            </w:r>
          </w:p>
        </w:tc>
        <w:tc>
          <w:tcPr>
            <w:tcW w:type="dxa" w:w="2880"/>
          </w:tcPr>
          <w:p>
            <w:r>
              <w:t>Growth (%)</w:t>
            </w:r>
          </w:p>
        </w:tc>
      </w:tr>
      <w:tr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Europe</w:t>
            </w:r>
          </w:p>
        </w:tc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</w:tbl>
    <w:p>
      <w:pPr>
        <w:pStyle w:val="Heading1"/>
      </w:pPr>
      <w:r>
        <w:t>2. Key Initiatives</w:t>
      </w:r>
    </w:p>
    <w:p>
      <w:r>
        <w:t>The following initiatives were launched in Q1:</w:t>
        <w:br/>
        <w:t>• AI-powered document processing pipeline deployed on HPE Private Cloud AI</w:t>
        <w:br/>
        <w:t>• New partnership with PaddlePaddle for OCR capabilities</w:t>
        <w:br/>
        <w:t>• Gotenberg integration for automated document conversion</w:t>
      </w:r>
    </w:p>
    <w:p>
      <w:pPr>
        <w:pStyle w:val="Heading1"/>
      </w:pPr>
      <w:r>
        <w:t>3. Outlook</w:t>
      </w:r>
    </w:p>
    <w:p>
      <w:r>
        <w:t>Q2 2026 targets include expanding the AI pipeline to support 50+ document formats, achieving 99.5% OCR accuracy on mixed-language documents, and reducing processing latency to under 5 seconds per page. The formula for projected growth is:</w:t>
      </w:r>
    </w:p>
    <w:p>
      <w:r>
        <w:t>Revenue_Q2 = Revenue_Q1 × (1 + growth_rate) = $4.2M × 1.15 = $4.83M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