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Sector Intelligence Briefing — UK Public-Sector Procurement (Synthetic)</w:t>
      </w:r>
    </w:p>
    <w:p>
      <w:pPr>
        <w:spacing w:after="240"/>
      </w:pPr>
      <w:r>
        <w:rPr>
          <w:rFonts w:ascii="Times" w:hAnsi="Times" w:cs="Times"/>
          <w:sz w:val="24"/>
          <w:sz-cs w:val="24"/>
          <w:spacing w:val="0"/>
        </w:rPr>
        <w:t xml:space="preserve">This sector intelligence briefing is synthetic reference content for pipeline seam testing. It contains no real company or client information and summarises fictional but plausible market context for UK public-sector procurement of office supplies and grounds maintenance.</w:t>
      </w:r>
    </w:p>
    <w:p>
      <w:pPr>
        <w:spacing w:after="298"/>
      </w:pPr>
      <w:r>
        <w:rPr>
          <w:rFonts w:ascii="Times" w:hAnsi="Times" w:cs="Times"/>
          <w:sz w:val="36"/>
          <w:sz-cs w:val="36"/>
          <w:b/>
          <w:spacing w:val="0"/>
        </w:rPr>
        <w:t xml:space="preserve">Regulatory context</w:t>
      </w:r>
    </w:p>
    <w:p>
      <w:pPr>
        <w:spacing w:after="240"/>
      </w:pPr>
      <w:r>
        <w:rPr>
          <w:rFonts w:ascii="Times" w:hAnsi="Times" w:cs="Times"/>
          <w:sz w:val="24"/>
          <w:sz-cs w:val="24"/>
          <w:spacing w:val="0"/>
        </w:rPr>
        <w:t xml:space="preserve">The Procurement Act 2023 reshaped how UK public bodies run competitions, emphasising transparency, value for money, and the publication of procurement pipelines. Buyers increasingly publish forward plans, giving suppliers earlier sight of upcoming opportunities. Social value remains a mandatory consideration, typically weighted at around ten per cent of award criteria.</w:t>
      </w:r>
    </w:p>
    <w:p>
      <w:pPr>
        <w:spacing w:after="298"/>
      </w:pPr>
      <w:r>
        <w:rPr>
          <w:rFonts w:ascii="Times" w:hAnsi="Times" w:cs="Times"/>
          <w:sz w:val="36"/>
          <w:sz-cs w:val="36"/>
          <w:b/>
          <w:spacing w:val="0"/>
        </w:rPr>
        <w:t xml:space="preserve">Market trends</w:t>
      </w:r>
    </w:p>
    <w:p>
      <w:pPr>
        <w:spacing w:after="240"/>
      </w:pPr>
      <w:r>
        <w:rPr>
          <w:rFonts w:ascii="Times" w:hAnsi="Times" w:cs="Times"/>
          <w:sz w:val="24"/>
          <w:sz-cs w:val="24"/>
          <w:spacing w:val="0"/>
        </w:rPr>
        <w:t xml:space="preserve">Consolidation among distributors continues, with larger suppliers acquiring regional specialists to extend national coverage. Buyers favour managed-service models that bundle catalogue, fulfilment, and reporting into a single contract. Demand for recycled and remanufactured products is rising, driven by net-zero commitments and the visibility of carbon reporting in tender evaluations.</w:t>
      </w:r>
    </w:p>
    <w:p>
      <w:pPr>
        <w:spacing w:after="298"/>
      </w:pPr>
      <w:r>
        <w:rPr>
          <w:rFonts w:ascii="Times" w:hAnsi="Times" w:cs="Times"/>
          <w:sz w:val="36"/>
          <w:sz-cs w:val="36"/>
          <w:b/>
          <w:spacing w:val="0"/>
        </w:rPr>
        <w:t xml:space="preserve">Competitive dynamics</w:t>
      </w:r>
    </w:p>
    <w:p>
      <w:pPr>
        <w:spacing w:after="240"/>
      </w:pPr>
      <w:r>
        <w:rPr>
          <w:rFonts w:ascii="Times" w:hAnsi="Times" w:cs="Times"/>
          <w:sz w:val="24"/>
          <w:sz-cs w:val="24"/>
          <w:spacing w:val="0"/>
        </w:rPr>
        <w:t xml:space="preserve">Price remains important, but differentiation increasingly rests on service reliability, sustainability credentials, and the strength of social-value offers. Suppliers that can evidence measurable local employment and carbon reduction tend to score more strongly against modern award models. Framework agreements remain the dominant route to market for commoditised categories.</w:t>
      </w:r>
    </w:p>
    <w:p>
      <w:pPr>
        <w:spacing w:after="298"/>
      </w:pPr>
      <w:r>
        <w:rPr>
          <w:rFonts w:ascii="Times" w:hAnsi="Times" w:cs="Times"/>
          <w:sz w:val="36"/>
          <w:sz-cs w:val="36"/>
          <w:b/>
          <w:spacing w:val="0"/>
        </w:rPr>
        <w:t xml:space="preserve">Outlook</w:t>
      </w:r>
    </w:p>
    <w:p>
      <w:pPr>
        <w:spacing w:after="240"/>
      </w:pPr>
      <w:r>
        <w:rPr>
          <w:rFonts w:ascii="Times" w:hAnsi="Times" w:cs="Times"/>
          <w:sz w:val="24"/>
          <w:sz-cs w:val="24"/>
          <w:spacing w:val="0"/>
        </w:rPr>
        <w:t xml:space="preserve">The outlook favours suppliers that combine national scale with credible local delivery and transparent sustainability reporting. Buyers are expected to continue tightening social-value requirements and to scrutinise carbon claims more closely over the coming procurement cycles.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