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Security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Section</w:t>
            </w:r>
          </w:p>
        </w:tc>
        <w:tc>
          <w:tcPr>
            <w:tcW w:type="dxa" w:w="1440"/>
          </w:tcPr>
          <w:p>
            <w:r>
              <w:t>Question</w:t>
            </w:r>
          </w:p>
        </w:tc>
        <w:tc>
          <w:tcPr>
            <w:tcW w:type="dxa" w:w="1440"/>
          </w:tcPr>
          <w:p>
            <w:r>
              <w:t>Standard Response</w:t>
            </w:r>
          </w:p>
        </w:tc>
        <w:tc>
          <w:tcPr>
            <w:tcW w:type="dxa" w:w="1440"/>
          </w:tcPr>
          <w:p>
            <w:r>
              <w:t>Advanced Response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Data Protection</w:t>
            </w:r>
          </w:p>
        </w:tc>
        <w:tc>
          <w:tcPr>
            <w:tcW w:type="dxa" w:w="1440"/>
          </w:tcPr>
          <w:p>
            <w:r>
              <w:t>What encryption standards do you use?</w:t>
            </w:r>
          </w:p>
        </w:tc>
        <w:tc>
          <w:tcPr>
            <w:tcW w:type="dxa" w:w="1440"/>
          </w:tcPr>
          <w:p>
            <w:r>
              <w:t>We use AES-256 encryption for all data at rest.</w:t>
            </w:r>
          </w:p>
        </w:tc>
        <w:tc>
          <w:tcPr>
            <w:tcW w:type="dxa" w:w="1440"/>
          </w:tcPr>
          <w:p>
            <w:r>
              <w:t>Our advanced encryption includes hardware security modules.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Access Control</w:t>
            </w:r>
          </w:p>
        </w:tc>
        <w:tc>
          <w:tcPr>
            <w:tcW w:type="dxa" w:w="1440"/>
          </w:tcPr>
          <w:p>
            <w:r>
              <w:t>How do you manage access control?</w:t>
            </w:r>
          </w:p>
        </w:tc>
        <w:tc>
          <w:tcPr>
            <w:tcW w:type="dxa" w:w="1440"/>
          </w:tcPr>
          <w:p>
            <w:r>
              <w:t xml:space="preserve">We implement </w:t>
            </w:r>
            <w:r>
              <w:rPr>
                <w:b/>
              </w:rPr>
              <w:t>role-based access control</w:t>
            </w:r>
            <w:r>
              <w:t xml:space="preserve"> across all systems.</w:t>
            </w:r>
          </w:p>
        </w:tc>
        <w:tc>
          <w:tcPr>
            <w:tcW w:type="dxa" w:w="1440"/>
          </w:tcPr>
          <w:p>
            <w:r>
              <w:t>Multi-factor authentication is mandatory for all users.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Incident Response</w:t>
            </w:r>
          </w:p>
        </w:tc>
        <w:tc>
          <w:tcPr>
            <w:tcW w:type="dxa" w:w="1440"/>
          </w:tcPr>
          <w:p>
            <w:r>
              <w:t>Describe your incident response procedures.</w:t>
            </w:r>
          </w:p>
        </w:tc>
        <w:tc>
          <w:tcPr>
            <w:tcW w:type="dxa" w:w="1440"/>
          </w:tcPr>
          <w:p>
            <w:r>
              <w:t>Our incident response follows a 4-step process:</w:t>
              <w:br/>
              <w:t>1. Detection and alerting</w:t>
              <w:br/>
              <w:t>2. Triage and classification</w:t>
              <w:br/>
              <w:t>3. Containment and remediation</w:t>
              <w:br/>
              <w:t>4. Post-incident review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