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Standard Response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Service Levels</w:t>
            </w:r>
          </w:p>
        </w:tc>
        <w:tc>
          <w:tcPr>
            <w:tcW w:type="dxa" w:w="1728"/>
          </w:tcPr>
          <w:p>
            <w:r>
              <w:t>What service level agreements do you offer?</w:t>
            </w:r>
          </w:p>
        </w:tc>
        <w:tc>
          <w:tcPr>
            <w:tcW w:type="dxa" w:w="1728"/>
          </w:tcPr>
          <w:p>
            <w:r>
              <w:t>We offer tiered SLAs with 99.9% uptime guarantee.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Describe your support arrangements.</w:t>
            </w:r>
          </w:p>
        </w:tc>
        <w:tc>
          <w:tcPr>
            <w:tcW w:type="dxa" w:w="1728"/>
          </w:tcPr>
          <w:p>
            <w:r>
              <w:t>We provide 24/7 technical support via phone, email, and online portal.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