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FIXTURE — per-test CONTENT, staging_mode: per-test (DR-133, amended S543). Owned by exactly ONE spec: sidecar-mime-coverage.integration.test.ts. Do not stage from a second spec: identity in source_documents is content-hash FIRST, so two specs staging identical bytes share one row and the later stagings memo-SKIP. This document exists because Inv-7 asserts each MIME extracts to NON-EMPTY content_chunks, and a blank extraction form is a weak subject for that claim — a form can chunk while carrying no content anyone would want extracted. MIME under test: docx. Its certification token EMS 14064 is its alone.</w:t>
      </w:r>
    </w:p>
    <w:p>
      <w:pPr>
        <w:pStyle w:val="Heading1"/>
      </w:pPr>
      <w:r>
        <w:t>Supplier profile — Kingsmoor Environmental Ltd (Synthetic)</w:t>
      </w:r>
    </w:p>
    <w:p>
      <w:r>
        <w:t>Kingsmoor Environmental Ltd is a fictional supplier used as synthetic pipeline-test content and carries no real company, client or contract information. The company delivers air-quality monitoring and environmental reporting for local authorities and port operators.</w:t>
      </w:r>
    </w:p>
    <w:p>
      <w:pPr>
        <w:pStyle w:val="Heading1"/>
      </w:pPr>
      <w:r>
        <w:t>Delivery model</w:t>
      </w:r>
    </w:p>
    <w:p>
      <w:r>
        <w:t>Kingsmoor Environmental Ltd installs and maintains monitoring networks, validates the data they produce, and issues quarterly reports the buyer can publish without further processing. Each contract carries a named account lead and a monthly service review against agreed indicators.</w:t>
      </w:r>
    </w:p>
    <w:p>
      <w:pPr>
        <w:pStyle w:val="Heading1"/>
      </w:pPr>
      <w:r>
        <w:t>Quality and assurance</w:t>
      </w:r>
    </w:p>
    <w:p>
      <w:r>
        <w:t>The Kingsmoor Environmental Ltd management system is certified to EMS 14064 by an accredited certification body. Scope covers monitoring, validation and reporting. Evidence of the current certificate is issued at contract award.</w:t>
      </w:r>
    </w:p>
    <w:p>
      <w:pPr>
        <w:pStyle w:val="Heading1"/>
      </w:pPr>
      <w:r>
        <w:t>Governance</w:t>
      </w:r>
    </w:p>
    <w:p>
      <w:r>
        <w:t>Kingsmoor Environmental Ltd is governed by an executive team with functional leads for operations, assurance and commercial. Escalation routes are published at award and tested during mobilisation.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