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olor w:val="787878"/>
          <w:sz w:val="18"/>
        </w:rPr>
        <w:t>CURSO DE ESPECIALIZACIÓN EN IA Y BIG DATA</w:t>
        <w:br/>
        <w:t>CENTRO FORMACIÓN SOMORROSTRO — RETO 0 (SBD)</w:t>
      </w:r>
    </w:p>
    <w:p>
      <w:r>
        <w:br/>
        <w:br/>
        <w:br/>
      </w:r>
    </w:p>
    <w:p>
      <w:pPr>
        <w:jc w:val="center"/>
      </w:pPr>
      <w:r>
        <w:rPr>
          <w:rFonts w:ascii="Arial" w:hAnsi="Arial"/>
          <w:b/>
          <w:color w:val="0F2043"/>
          <w:sz w:val="44"/>
        </w:rPr>
        <w:t>INFORME EJECUTIVO PARA EL CLIENTE</w:t>
      </w:r>
    </w:p>
    <w:p>
      <w:pPr>
        <w:jc w:val="center"/>
      </w:pPr>
      <w:r>
        <w:rPr>
          <w:rFonts w:ascii="Arial" w:hAnsi="Arial"/>
          <w:color w:val="324B6E"/>
          <w:sz w:val="28"/>
        </w:rPr>
        <w:t>Evaluación de Impacto de la Zona de Bajas Emisiones (ZBE)</w:t>
        <w:br/>
        <w:t>en la Calidad del Aire de Bilbao (2022–2026)</w:t>
      </w:r>
    </w:p>
    <w:p>
      <w:r>
        <w:br/>
        <w:br/>
        <w:br/>
        <w:br/>
      </w:r>
    </w:p>
    <w:tbl>
      <w:tblPr>
        <w:tblW w:type="auto" w:w="0"/>
        <w:jc w:val="center"/>
        <w:tblLook w:firstColumn="1" w:firstRow="1" w:lastColumn="0" w:lastRow="0" w:noHBand="0" w:noVBand="1" w:val="04A0"/>
      </w:tblPr>
      <w:tblGrid>
        <w:gridCol w:w="5040"/>
        <w:gridCol w:w="5040"/>
      </w:tblGrid>
      <w:tr>
        <w:tc>
          <w:tcPr>
            <w:tcW w:type="dxa" w:w="3168"/>
          </w:tcPr>
          <w:p>
            <w:r>
              <w:rPr>
                <w:rFonts w:ascii="Arial" w:hAnsi="Arial"/>
                <w:b/>
                <w:sz w:val="20"/>
              </w:rPr>
              <w:t>Cliente destinatario:</w:t>
            </w:r>
          </w:p>
        </w:tc>
        <w:tc>
          <w:tcPr>
            <w:tcW w:type="dxa" w:w="6480"/>
          </w:tcPr>
          <w:p>
            <w:r>
              <w:rPr>
                <w:rFonts w:ascii="Arial" w:hAnsi="Arial"/>
                <w:sz w:val="20"/>
              </w:rPr>
              <w:t>Ayuntamiento de Bilbao — Área de Movilidad y Medio Ambiente</w:t>
            </w:r>
          </w:p>
        </w:tc>
      </w:tr>
      <w:tr>
        <w:tc>
          <w:tcPr>
            <w:tcW w:type="dxa" w:w="3168"/>
          </w:tcPr>
          <w:p>
            <w:r>
              <w:rPr>
                <w:rFonts w:ascii="Arial" w:hAnsi="Arial"/>
                <w:b/>
                <w:sz w:val="20"/>
              </w:rPr>
              <w:t>Equipo consultor:</w:t>
            </w:r>
          </w:p>
        </w:tc>
        <w:tc>
          <w:tcPr>
            <w:tcW w:type="dxa" w:w="6480"/>
          </w:tcPr>
          <w:p>
            <w:r>
              <w:rPr>
                <w:rFonts w:ascii="Arial" w:hAnsi="Arial"/>
                <w:sz w:val="20"/>
              </w:rPr>
              <w:t>HaizeLab Data Analytics (Alfred Gabriel, Íñigo, Kerman)</w:t>
            </w:r>
          </w:p>
        </w:tc>
      </w:tr>
      <w:tr>
        <w:tc>
          <w:tcPr>
            <w:tcW w:type="dxa" w:w="3168"/>
          </w:tcPr>
          <w:p>
            <w:r>
              <w:rPr>
                <w:rFonts w:ascii="Arial" w:hAnsi="Arial"/>
                <w:b/>
                <w:sz w:val="20"/>
              </w:rPr>
              <w:t>Módulo formativo:</w:t>
            </w:r>
          </w:p>
        </w:tc>
        <w:tc>
          <w:tcPr>
            <w:tcW w:type="dxa" w:w="6480"/>
          </w:tcPr>
          <w:p>
            <w:r>
              <w:rPr>
                <w:rFonts w:ascii="Arial" w:hAnsi="Arial"/>
                <w:sz w:val="20"/>
              </w:rPr>
              <w:t>Sistemas de Big Data (SBD) — Reto 0: 'HERE WE GO'</w:t>
            </w:r>
          </w:p>
        </w:tc>
      </w:tr>
      <w:tr>
        <w:tc>
          <w:tcPr>
            <w:tcW w:type="dxa" w:w="3168"/>
          </w:tcPr>
          <w:p>
            <w:r>
              <w:rPr>
                <w:rFonts w:ascii="Arial" w:hAnsi="Arial"/>
                <w:b/>
                <w:sz w:val="20"/>
              </w:rPr>
              <w:t>Fecha de entrega:</w:t>
            </w:r>
          </w:p>
        </w:tc>
        <w:tc>
          <w:tcPr>
            <w:tcW w:type="dxa" w:w="6480"/>
          </w:tcPr>
          <w:p>
            <w:r>
              <w:rPr>
                <w:rFonts w:ascii="Arial" w:hAnsi="Arial"/>
                <w:sz w:val="20"/>
              </w:rPr>
              <w:t>Octubre de 2026</w:t>
            </w:r>
          </w:p>
        </w:tc>
      </w:tr>
    </w:tbl>
    <w:p>
      <w:r>
        <w:br w:type="page"/>
      </w:r>
    </w:p>
    <w:p>
      <w:r>
        <w:rPr>
          <w:rFonts w:ascii="Arial" w:hAnsi="Arial"/>
          <w:b/>
          <w:color w:val="0F2043"/>
          <w:sz w:val="32"/>
        </w:rPr>
        <w:t>Índice General de Contenidos</w:t>
      </w:r>
    </w:p>
    <w:tbl>
      <w:tblPr>
        <w:tblW w:type="auto" w:w="0"/>
        <w:jc w:val="center"/>
        <w:tblLook w:firstColumn="1" w:firstRow="1" w:lastColumn="0" w:lastRow="0" w:noHBand="0" w:noVBand="1" w:val="04A0"/>
      </w:tblPr>
      <w:tblGrid>
        <w:gridCol w:w="5040"/>
        <w:gridCol w:w="5040"/>
      </w:tblGrid>
      <w:tr>
        <w:tc>
          <w:tcPr>
            <w:tcW w:type="dxa" w:w="7488"/>
          </w:tcPr>
          <w:p>
            <w:r>
              <w:rPr>
                <w:rFonts w:ascii="Arial" w:hAnsi="Arial"/>
                <w:sz w:val="20"/>
              </w:rPr>
              <w:t>1. Contexto institucional y planteamiento del problema</w:t>
            </w:r>
          </w:p>
        </w:tc>
        <w:tc>
          <w:tcPr>
            <w:tcW w:type="dxa" w:w="2160"/>
          </w:tcPr>
          <w:p>
            <w:pPr>
              <w:jc w:val="right"/>
            </w:pPr>
            <w:r>
              <w:rPr>
                <w:rFonts w:ascii="Arial" w:hAnsi="Arial"/>
                <w:b/>
                <w:sz w:val="20"/>
              </w:rPr>
              <w:t>Página 1</w:t>
            </w:r>
          </w:p>
        </w:tc>
      </w:tr>
      <w:tr>
        <w:tc>
          <w:tcPr>
            <w:tcW w:type="dxa" w:w="7488"/>
          </w:tcPr>
          <w:p>
            <w:r>
              <w:rPr>
                <w:rFonts w:ascii="Arial" w:hAnsi="Arial"/>
                <w:sz w:val="20"/>
              </w:rPr>
              <w:t>2. Adquisición de fuentes de datos y auditoría de calidad</w:t>
            </w:r>
          </w:p>
        </w:tc>
        <w:tc>
          <w:tcPr>
            <w:tcW w:type="dxa" w:w="2160"/>
          </w:tcPr>
          <w:p>
            <w:pPr>
              <w:jc w:val="right"/>
            </w:pPr>
            <w:r>
              <w:rPr>
                <w:rFonts w:ascii="Arial" w:hAnsi="Arial"/>
                <w:b/>
                <w:sz w:val="20"/>
              </w:rPr>
              <w:t>Página 1</w:t>
            </w:r>
          </w:p>
        </w:tc>
      </w:tr>
      <w:tr>
        <w:tc>
          <w:tcPr>
            <w:tcW w:type="dxa" w:w="7488"/>
          </w:tcPr>
          <w:p>
            <w:r>
              <w:rPr>
                <w:rFonts w:ascii="Arial" w:hAnsi="Arial"/>
                <w:sz w:val="20"/>
              </w:rPr>
              <w:t>3. Formulación y priorización de preguntas de negocio (P1–P5)</w:t>
            </w:r>
          </w:p>
        </w:tc>
        <w:tc>
          <w:tcPr>
            <w:tcW w:type="dxa" w:w="2160"/>
          </w:tcPr>
          <w:p>
            <w:pPr>
              <w:jc w:val="right"/>
            </w:pPr>
            <w:r>
              <w:rPr>
                <w:rFonts w:ascii="Arial" w:hAnsi="Arial"/>
                <w:b/>
                <w:sz w:val="20"/>
              </w:rPr>
              <w:t>Página 1</w:t>
            </w:r>
          </w:p>
        </w:tc>
      </w:tr>
      <w:tr>
        <w:tc>
          <w:tcPr>
            <w:tcW w:type="dxa" w:w="7488"/>
          </w:tcPr>
          <w:p>
            <w:r>
              <w:rPr>
                <w:rFonts w:ascii="Arial" w:hAnsi="Arial"/>
                <w:sz w:val="20"/>
              </w:rPr>
              <w:t>4. Principales resultados del análisis descriptivo y cuasiexperimental</w:t>
            </w:r>
          </w:p>
        </w:tc>
        <w:tc>
          <w:tcPr>
            <w:tcW w:type="dxa" w:w="2160"/>
          </w:tcPr>
          <w:p>
            <w:pPr>
              <w:jc w:val="right"/>
            </w:pPr>
            <w:r>
              <w:rPr>
                <w:rFonts w:ascii="Arial" w:hAnsi="Arial"/>
                <w:b/>
                <w:sz w:val="20"/>
              </w:rPr>
              <w:t>Página 2</w:t>
            </w:r>
          </w:p>
        </w:tc>
      </w:tr>
      <w:tr>
        <w:tc>
          <w:tcPr>
            <w:tcW w:type="dxa" w:w="7488"/>
          </w:tcPr>
          <w:p>
            <w:r>
              <w:rPr>
                <w:rFonts w:ascii="Arial" w:hAnsi="Arial"/>
                <w:sz w:val="20"/>
              </w:rPr>
              <w:t>5. Visualizaciones seleccionadas e interpretación causal (Figuras 1 y 2)</w:t>
            </w:r>
          </w:p>
        </w:tc>
        <w:tc>
          <w:tcPr>
            <w:tcW w:type="dxa" w:w="2160"/>
          </w:tcPr>
          <w:p>
            <w:pPr>
              <w:jc w:val="right"/>
            </w:pPr>
            <w:r>
              <w:rPr>
                <w:rFonts w:ascii="Arial" w:hAnsi="Arial"/>
                <w:b/>
                <w:sz w:val="20"/>
              </w:rPr>
              <w:t>Página 2</w:t>
            </w:r>
          </w:p>
        </w:tc>
      </w:tr>
      <w:tr>
        <w:tc>
          <w:tcPr>
            <w:tcW w:type="dxa" w:w="7488"/>
          </w:tcPr>
          <w:p>
            <w:r>
              <w:rPr>
                <w:rFonts w:ascii="Arial" w:hAnsi="Arial"/>
                <w:sz w:val="20"/>
              </w:rPr>
              <w:t>6. Análisis estratificado por viento y contraste con aforos (Figuras 3 y 4)</w:t>
            </w:r>
          </w:p>
        </w:tc>
        <w:tc>
          <w:tcPr>
            <w:tcW w:type="dxa" w:w="2160"/>
          </w:tcPr>
          <w:p>
            <w:pPr>
              <w:jc w:val="right"/>
            </w:pPr>
            <w:r>
              <w:rPr>
                <w:rFonts w:ascii="Arial" w:hAnsi="Arial"/>
                <w:b/>
                <w:sz w:val="20"/>
              </w:rPr>
              <w:t>Página 3</w:t>
            </w:r>
          </w:p>
        </w:tc>
      </w:tr>
      <w:tr>
        <w:tc>
          <w:tcPr>
            <w:tcW w:type="dxa" w:w="7488"/>
          </w:tcPr>
          <w:p>
            <w:r>
              <w:rPr>
                <w:rFonts w:ascii="Arial" w:hAnsi="Arial"/>
                <w:sz w:val="20"/>
              </w:rPr>
              <w:t>7. Conclusiones estratégicas para el cliente</w:t>
            </w:r>
          </w:p>
        </w:tc>
        <w:tc>
          <w:tcPr>
            <w:tcW w:type="dxa" w:w="2160"/>
          </w:tcPr>
          <w:p>
            <w:pPr>
              <w:jc w:val="right"/>
            </w:pPr>
            <w:r>
              <w:rPr>
                <w:rFonts w:ascii="Arial" w:hAnsi="Arial"/>
                <w:b/>
                <w:sz w:val="20"/>
              </w:rPr>
              <w:t>Página 4</w:t>
            </w:r>
          </w:p>
        </w:tc>
      </w:tr>
      <w:tr>
        <w:tc>
          <w:tcPr>
            <w:tcW w:type="dxa" w:w="7488"/>
          </w:tcPr>
          <w:p>
            <w:r>
              <w:rPr>
                <w:rFonts w:ascii="Arial" w:hAnsi="Arial"/>
                <w:sz w:val="20"/>
              </w:rPr>
              <w:t>8. Recomendaciones de política pública y movilidad urbana</w:t>
            </w:r>
          </w:p>
        </w:tc>
        <w:tc>
          <w:tcPr>
            <w:tcW w:type="dxa" w:w="2160"/>
          </w:tcPr>
          <w:p>
            <w:pPr>
              <w:jc w:val="right"/>
            </w:pPr>
            <w:r>
              <w:rPr>
                <w:rFonts w:ascii="Arial" w:hAnsi="Arial"/>
                <w:b/>
                <w:sz w:val="20"/>
              </w:rPr>
              <w:t>Página 4</w:t>
            </w:r>
          </w:p>
        </w:tc>
      </w:tr>
      <w:tr>
        <w:tc>
          <w:tcPr>
            <w:tcW w:type="dxa" w:w="7488"/>
          </w:tcPr>
          <w:p>
            <w:r>
              <w:rPr>
                <w:rFonts w:ascii="Arial" w:hAnsi="Arial"/>
                <w:sz w:val="20"/>
              </w:rPr>
              <w:t>9. Justificación de herramientas y reparto de responsabilidades</w:t>
            </w:r>
          </w:p>
        </w:tc>
        <w:tc>
          <w:tcPr>
            <w:tcW w:type="dxa" w:w="2160"/>
          </w:tcPr>
          <w:p>
            <w:pPr>
              <w:jc w:val="right"/>
            </w:pPr>
            <w:r>
              <w:rPr>
                <w:rFonts w:ascii="Arial" w:hAnsi="Arial"/>
                <w:b/>
                <w:sz w:val="20"/>
              </w:rPr>
              <w:t>Página 4</w:t>
            </w:r>
          </w:p>
        </w:tc>
      </w:tr>
    </w:tbl>
    <w:p>
      <w:r>
        <w:br w:type="page"/>
      </w:r>
    </w:p>
    <w:p>
      <w:pPr>
        <w:spacing w:before="160" w:after="40"/>
      </w:pPr>
      <w:r>
        <w:rPr>
          <w:rFonts w:ascii="Arial" w:hAnsi="Arial"/>
          <w:b/>
          <w:color w:val="0F2043"/>
          <w:sz w:val="24"/>
        </w:rPr>
        <w:t>1. Contexto institucional y planteamiento del problema</w:t>
      </w:r>
    </w:p>
    <w:p>
      <w:r>
        <w:t>El Ayuntamiento de Bilbao implantó la Zona de Bajas Emisiones (ZBE) en el distrito de Abando (~2 km²) en dos etapas: la Fase 1 el 15 de junio de 2024 (prohibición de acceso a vehículos sin etiqueta ambiental DGT) y la Fase 2 el 16 de junio de 2025 (restricción ampliada a distintivo B para no residentes), en horario de lunes a viernes de 7:00 a 20:00. El Área de Movilidad requiere una evaluación técnica objetiva que determine si la intervención ha reducido de forma medible la concentración de dióxido de nitrógeno (NO2) dentro del perímetro, aislando este efecto de factores de confusión como la meteorología favorable (dispersión por viento y lluvia) o la inercia metropolitana de renovación del parque móvil.</w:t>
      </w:r>
    </w:p>
    <w:p>
      <w:pPr>
        <w:spacing w:before="160" w:after="40"/>
      </w:pPr>
      <w:r>
        <w:rPr>
          <w:rFonts w:ascii="Arial" w:hAnsi="Arial"/>
          <w:b/>
          <w:color w:val="0F2043"/>
          <w:sz w:val="24"/>
        </w:rPr>
        <w:t>2. Fuentes de datos, variables y auditoría de calidad</w:t>
      </w:r>
    </w:p>
    <w:p>
      <w:r>
        <w:t>Se integraron cuatro fuentes públicas oficiales estructuradas: (1) Red de Calidad del Aire del Gobierno Vasco (Open Data Euskadi), con registros horarios (2022–2026) en ocho estaciones: Mazarredo y Mª Díaz de Haro (interior ZBE), Europa, Barakaldo, Basauri, Erandio y Castrejana (control exterior urbano) y Monte Arraiz (fondo regional); (2) Meteorología horaria de Bilbao (Open-Meteo Historical API), con temperatura (°C), humedad (%), velocidad del viento (m/s), dirección y precipitación (mm); (3) Calendario ZBE, con festivos oficiales y fases normativas; y (4) Aforos de tráfico de accesos (Diputación Foral de Bizkaia) y 81 tramos urbanos en tiempo real (Bilbao Open Data).</w:t>
      </w:r>
    </w:p>
    <w:p>
      <w:pPr>
        <w:spacing w:before="100" w:after="40"/>
      </w:pPr>
      <w:r>
        <w:rPr>
          <w:rFonts w:ascii="Arial" w:hAnsi="Arial"/>
          <w:b/>
          <w:color w:val="324B6E"/>
          <w:sz w:val="21"/>
        </w:rPr>
        <w:t>Tratamiento de anomalías y control de calidad:</w:t>
      </w:r>
    </w:p>
    <w:p>
      <w:r>
        <w:rPr>
          <w:b/>
        </w:rPr>
        <w:t xml:space="preserve">• Coma decimal y tipos: </w:t>
      </w:r>
      <w:r>
        <w:t>Conversión estandarizada de cadenas numéricas europeas a coma flotante float64.</w:t>
        <w:br/>
      </w:r>
      <w:r>
        <w:rPr>
          <w:b/>
        </w:rPr>
        <w:t xml:space="preserve">• Hora 24:00: </w:t>
      </w:r>
      <w:r>
        <w:t>Normalización sistemática de la codificación 24:00 sumando un día calendario a las 00:00 horas.</w:t>
        <w:br/>
      </w:r>
      <w:r>
        <w:rPr>
          <w:b/>
        </w:rPr>
        <w:t xml:space="preserve">• Alineación horaria: </w:t>
      </w:r>
      <w:r>
        <w:t>Conversión estricta de GMT a hora local peninsular (Europe/Madrid) con horario estival para casar con el horario ZBE.</w:t>
        <w:br/>
      </w:r>
      <w:r>
        <w:rPr>
          <w:b/>
        </w:rPr>
        <w:t xml:space="preserve">• Valores anómalos: </w:t>
      </w:r>
      <w:r>
        <w:t>Filtrado de valores negativos de NO2 (&lt; 0 µg/m³) por descalibración instrumental (0,04%), imputados por persistencia.</w:t>
        <w:br/>
      </w:r>
      <w:r>
        <w:rPr>
          <w:b/>
        </w:rPr>
        <w:t xml:space="preserve">• Completitud del dataset maestro: </w:t>
      </w:r>
      <w:r>
        <w:t>Integración final de 332.776 registros horarios coincidentes con un porcentaje global de nulos inferior al 1,2%.</w:t>
      </w:r>
    </w:p>
    <w:p>
      <w:pPr>
        <w:spacing w:before="160" w:after="40"/>
      </w:pPr>
      <w:r>
        <w:rPr>
          <w:rFonts w:ascii="Arial" w:hAnsi="Arial"/>
          <w:b/>
          <w:color w:val="0F2043"/>
          <w:sz w:val="24"/>
        </w:rPr>
        <w:t>3. Preguntas de negocio priorizadas</w:t>
      </w:r>
    </w:p>
    <w:p>
      <w:r>
        <w:t>Para responder a las necesidades de decisión municipal, se priorizaron cinco preguntas estructuradas:</w:t>
        <w:br/>
        <w:t>• P1 (Prioridad Máxima - Impacto Neto): ¿Ha bajado el NO2 dentro de la ZBE más que fuera tras el 15/06/2024? (Modelo Diff-in-Diff).</w:t>
        <w:br/>
        <w:t>• P2 (Prioridad Alta - Franja Regulada): ¿El cambio se concentra en días laborables de 7:00 a 20:00 o es general (noches/festivos)?</w:t>
        <w:br/>
        <w:t>• P3 (Prioridad Alta - Control Meteorológico): ¿Se sostiene la reducción al aislar situaciones de calma atmosférica (&lt; 2 m/s)?</w:t>
        <w:br/>
        <w:t>• P4 (Prioridad Media - Causalidad por Tráfico): ¿Se correlaciona la bajada con la caída de vehículos en el acceso de San Mamés?</w:t>
        <w:br/>
        <w:t>• P5 (Prioridad Media - Efecto Marginal Fase 2): ¿Aportó la Fase 2 (junio 2025) una reducción adicional frente a la Fase 1?</w:t>
      </w:r>
    </w:p>
    <w:p>
      <w:r>
        <w:br w:type="page"/>
      </w:r>
    </w:p>
    <w:p>
      <w:pPr>
        <w:spacing w:before="160" w:after="40"/>
      </w:pPr>
      <w:r>
        <w:rPr>
          <w:rFonts w:ascii="Arial" w:hAnsi="Arial"/>
          <w:b/>
          <w:color w:val="0F2043"/>
          <w:sz w:val="24"/>
        </w:rPr>
        <w:t>4. Principales resultados del análisis descriptivo y cuasiexperimental</w:t>
      </w:r>
    </w:p>
    <w:p>
      <w:r>
        <w:t>La tabla sintética resume la evolución de la concentración media de NO2 en cada zona antes y después del 15 de junio de 2024:</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80" w:type="dxa"/>
              <w:bottom w:w="80" w:type="dxa"/>
              <w:left w:w="100" w:type="dxa"/>
              <w:right w:w="100" w:type="dxa"/>
            </w:tcMar>
          </w:tcPr>
          <w:p>
            <w:r>
              <w:rPr>
                <w:rFonts w:ascii="Arial" w:hAnsi="Arial"/>
                <w:b/>
                <w:color w:val="FFFFFF"/>
                <w:sz w:val="18"/>
              </w:rPr>
              <w:t>Zona / Estación</w:t>
            </w:r>
          </w:p>
        </w:tc>
        <w:tc>
          <w:tcPr>
            <w:tcW w:type="dxa" w:w="2016"/>
            <w:shd w:fill="1F497D"/>
            <w:tcMar>
              <w:top w:w="80" w:type="dxa"/>
              <w:bottom w:w="80" w:type="dxa"/>
              <w:left w:w="100" w:type="dxa"/>
              <w:right w:w="100" w:type="dxa"/>
            </w:tcMar>
          </w:tcPr>
          <w:p>
            <w:r>
              <w:rPr>
                <w:rFonts w:ascii="Arial" w:hAnsi="Arial"/>
                <w:b/>
                <w:color w:val="FFFFFF"/>
                <w:sz w:val="18"/>
              </w:rPr>
              <w:t>Media Pre-ZBE</w:t>
            </w:r>
          </w:p>
        </w:tc>
        <w:tc>
          <w:tcPr>
            <w:tcW w:type="dxa" w:w="2016"/>
            <w:shd w:fill="1F497D"/>
            <w:tcMar>
              <w:top w:w="80" w:type="dxa"/>
              <w:bottom w:w="80" w:type="dxa"/>
              <w:left w:w="100" w:type="dxa"/>
              <w:right w:w="100" w:type="dxa"/>
            </w:tcMar>
          </w:tcPr>
          <w:p>
            <w:r>
              <w:rPr>
                <w:rFonts w:ascii="Arial" w:hAnsi="Arial"/>
                <w:b/>
                <w:color w:val="FFFFFF"/>
                <w:sz w:val="18"/>
              </w:rPr>
              <w:t>Media Post-ZBE</w:t>
            </w:r>
          </w:p>
        </w:tc>
        <w:tc>
          <w:tcPr>
            <w:tcW w:type="dxa" w:w="2016"/>
            <w:shd w:fill="1F497D"/>
            <w:tcMar>
              <w:top w:w="80" w:type="dxa"/>
              <w:bottom w:w="80" w:type="dxa"/>
              <w:left w:w="100" w:type="dxa"/>
              <w:right w:w="100" w:type="dxa"/>
            </w:tcMar>
          </w:tcPr>
          <w:p>
            <w:r>
              <w:rPr>
                <w:rFonts w:ascii="Arial" w:hAnsi="Arial"/>
                <w:b/>
                <w:color w:val="FFFFFF"/>
                <w:sz w:val="18"/>
              </w:rPr>
              <w:t>Var. Absoluta</w:t>
            </w:r>
          </w:p>
        </w:tc>
        <w:tc>
          <w:tcPr>
            <w:tcW w:type="dxa" w:w="2016"/>
            <w:shd w:fill="1F497D"/>
            <w:tcMar>
              <w:top w:w="80" w:type="dxa"/>
              <w:bottom w:w="80" w:type="dxa"/>
              <w:left w:w="100" w:type="dxa"/>
              <w:right w:w="100" w:type="dxa"/>
            </w:tcMar>
          </w:tcPr>
          <w:p>
            <w:r>
              <w:rPr>
                <w:rFonts w:ascii="Arial" w:hAnsi="Arial"/>
                <w:b/>
                <w:color w:val="FFFFFF"/>
                <w:sz w:val="18"/>
              </w:rPr>
              <w:t>Var. Relativa</w:t>
            </w:r>
          </w:p>
        </w:tc>
      </w:tr>
      <w:tr>
        <w:tc>
          <w:tcPr>
            <w:tcW w:type="dxa" w:w="2016"/>
            <w:shd w:fill="F2F5F9"/>
            <w:tcMar>
              <w:top w:w="60" w:type="dxa"/>
              <w:bottom w:w="60" w:type="dxa"/>
              <w:left w:w="100" w:type="dxa"/>
              <w:right w:w="100" w:type="dxa"/>
            </w:tcMar>
          </w:tcPr>
          <w:p>
            <w:r>
              <w:rPr>
                <w:rFonts w:ascii="Arial" w:hAnsi="Arial"/>
                <w:b/>
                <w:sz w:val="18"/>
              </w:rPr>
              <w:t>Dentro ZBE (Mazarredo + Mª Díaz Haro)</w:t>
            </w:r>
          </w:p>
        </w:tc>
        <w:tc>
          <w:tcPr>
            <w:tcW w:type="dxa" w:w="2016"/>
            <w:shd w:fill="F2F5F9"/>
            <w:tcMar>
              <w:top w:w="60" w:type="dxa"/>
              <w:bottom w:w="60" w:type="dxa"/>
              <w:left w:w="100" w:type="dxa"/>
              <w:right w:w="100" w:type="dxa"/>
            </w:tcMar>
          </w:tcPr>
          <w:p>
            <w:r>
              <w:rPr>
                <w:rFonts w:ascii="Arial" w:hAnsi="Arial"/>
                <w:sz w:val="18"/>
              </w:rPr>
              <w:t>25,60 µg/m³</w:t>
            </w:r>
          </w:p>
        </w:tc>
        <w:tc>
          <w:tcPr>
            <w:tcW w:type="dxa" w:w="2016"/>
            <w:shd w:fill="F2F5F9"/>
            <w:tcMar>
              <w:top w:w="60" w:type="dxa"/>
              <w:bottom w:w="60" w:type="dxa"/>
              <w:left w:w="100" w:type="dxa"/>
              <w:right w:w="100" w:type="dxa"/>
            </w:tcMar>
          </w:tcPr>
          <w:p>
            <w:r>
              <w:rPr>
                <w:rFonts w:ascii="Arial" w:hAnsi="Arial"/>
                <w:sz w:val="18"/>
              </w:rPr>
              <w:t>21,24 µg/m³</w:t>
            </w:r>
          </w:p>
        </w:tc>
        <w:tc>
          <w:tcPr>
            <w:tcW w:type="dxa" w:w="2016"/>
            <w:shd w:fill="F2F5F9"/>
            <w:tcMar>
              <w:top w:w="60" w:type="dxa"/>
              <w:bottom w:w="60" w:type="dxa"/>
              <w:left w:w="100" w:type="dxa"/>
              <w:right w:w="100" w:type="dxa"/>
            </w:tcMar>
          </w:tcPr>
          <w:p>
            <w:r>
              <w:rPr>
                <w:rFonts w:ascii="Arial" w:hAnsi="Arial"/>
                <w:sz w:val="18"/>
              </w:rPr>
              <w:t>-4,36 µg/m³</w:t>
            </w:r>
          </w:p>
        </w:tc>
        <w:tc>
          <w:tcPr>
            <w:tcW w:type="dxa" w:w="2016"/>
            <w:shd w:fill="F2F5F9"/>
            <w:tcMar>
              <w:top w:w="60" w:type="dxa"/>
              <w:bottom w:w="60" w:type="dxa"/>
              <w:left w:w="100" w:type="dxa"/>
              <w:right w:w="100" w:type="dxa"/>
            </w:tcMar>
          </w:tcPr>
          <w:p>
            <w:r>
              <w:rPr>
                <w:rFonts w:ascii="Arial" w:hAnsi="Arial"/>
                <w:sz w:val="18"/>
              </w:rPr>
              <w:t>-17,03%</w:t>
            </w:r>
          </w:p>
        </w:tc>
      </w:tr>
      <w:tr>
        <w:tc>
          <w:tcPr>
            <w:tcW w:type="dxa" w:w="2016"/>
            <w:shd w:fill="FFFFFF"/>
            <w:tcMar>
              <w:top w:w="60" w:type="dxa"/>
              <w:bottom w:w="60" w:type="dxa"/>
              <w:left w:w="100" w:type="dxa"/>
              <w:right w:w="100" w:type="dxa"/>
            </w:tcMar>
          </w:tcPr>
          <w:p>
            <w:r>
              <w:rPr>
                <w:rFonts w:ascii="Arial" w:hAnsi="Arial"/>
                <w:b w:val="0"/>
                <w:sz w:val="18"/>
              </w:rPr>
              <w:t>Control Fuera (Gran Bilbao Urbano)</w:t>
            </w:r>
          </w:p>
        </w:tc>
        <w:tc>
          <w:tcPr>
            <w:tcW w:type="dxa" w:w="2016"/>
            <w:shd w:fill="FFFFFF"/>
            <w:tcMar>
              <w:top w:w="60" w:type="dxa"/>
              <w:bottom w:w="60" w:type="dxa"/>
              <w:left w:w="100" w:type="dxa"/>
              <w:right w:w="100" w:type="dxa"/>
            </w:tcMar>
          </w:tcPr>
          <w:p>
            <w:r>
              <w:rPr>
                <w:rFonts w:ascii="Arial" w:hAnsi="Arial"/>
                <w:sz w:val="18"/>
              </w:rPr>
              <w:t>15,92 µg/m³</w:t>
            </w:r>
          </w:p>
        </w:tc>
        <w:tc>
          <w:tcPr>
            <w:tcW w:type="dxa" w:w="2016"/>
            <w:shd w:fill="FFFFFF"/>
            <w:tcMar>
              <w:top w:w="60" w:type="dxa"/>
              <w:bottom w:w="60" w:type="dxa"/>
              <w:left w:w="100" w:type="dxa"/>
              <w:right w:w="100" w:type="dxa"/>
            </w:tcMar>
          </w:tcPr>
          <w:p>
            <w:r>
              <w:rPr>
                <w:rFonts w:ascii="Arial" w:hAnsi="Arial"/>
                <w:sz w:val="18"/>
              </w:rPr>
              <w:t>13,38 µg/m³</w:t>
            </w:r>
          </w:p>
        </w:tc>
        <w:tc>
          <w:tcPr>
            <w:tcW w:type="dxa" w:w="2016"/>
            <w:shd w:fill="FFFFFF"/>
            <w:tcMar>
              <w:top w:w="60" w:type="dxa"/>
              <w:bottom w:w="60" w:type="dxa"/>
              <w:left w:w="100" w:type="dxa"/>
              <w:right w:w="100" w:type="dxa"/>
            </w:tcMar>
          </w:tcPr>
          <w:p>
            <w:r>
              <w:rPr>
                <w:rFonts w:ascii="Arial" w:hAnsi="Arial"/>
                <w:sz w:val="18"/>
              </w:rPr>
              <w:t>-2,54 µg/m³</w:t>
            </w:r>
          </w:p>
        </w:tc>
        <w:tc>
          <w:tcPr>
            <w:tcW w:type="dxa" w:w="2016"/>
            <w:shd w:fill="FFFFFF"/>
            <w:tcMar>
              <w:top w:w="60" w:type="dxa"/>
              <w:bottom w:w="60" w:type="dxa"/>
              <w:left w:w="100" w:type="dxa"/>
              <w:right w:w="100" w:type="dxa"/>
            </w:tcMar>
          </w:tcPr>
          <w:p>
            <w:r>
              <w:rPr>
                <w:rFonts w:ascii="Arial" w:hAnsi="Arial"/>
                <w:sz w:val="18"/>
              </w:rPr>
              <w:t>-15,95%</w:t>
            </w:r>
          </w:p>
        </w:tc>
      </w:tr>
      <w:tr>
        <w:tc>
          <w:tcPr>
            <w:tcW w:type="dxa" w:w="2016"/>
            <w:shd w:fill="F2F5F9"/>
            <w:tcMar>
              <w:top w:w="60" w:type="dxa"/>
              <w:bottom w:w="60" w:type="dxa"/>
              <w:left w:w="100" w:type="dxa"/>
              <w:right w:w="100" w:type="dxa"/>
            </w:tcMar>
          </w:tcPr>
          <w:p>
            <w:r>
              <w:rPr>
                <w:rFonts w:ascii="Arial" w:hAnsi="Arial"/>
                <w:b w:val="0"/>
                <w:sz w:val="18"/>
              </w:rPr>
              <w:t>Fondo Regional (Monte Arraiz)</w:t>
            </w:r>
          </w:p>
        </w:tc>
        <w:tc>
          <w:tcPr>
            <w:tcW w:type="dxa" w:w="2016"/>
            <w:shd w:fill="F2F5F9"/>
            <w:tcMar>
              <w:top w:w="60" w:type="dxa"/>
              <w:bottom w:w="60" w:type="dxa"/>
              <w:left w:w="100" w:type="dxa"/>
              <w:right w:w="100" w:type="dxa"/>
            </w:tcMar>
          </w:tcPr>
          <w:p>
            <w:r>
              <w:rPr>
                <w:rFonts w:ascii="Arial" w:hAnsi="Arial"/>
                <w:sz w:val="18"/>
              </w:rPr>
              <w:t>8,45 µg/m³</w:t>
            </w:r>
          </w:p>
        </w:tc>
        <w:tc>
          <w:tcPr>
            <w:tcW w:type="dxa" w:w="2016"/>
            <w:shd w:fill="F2F5F9"/>
            <w:tcMar>
              <w:top w:w="60" w:type="dxa"/>
              <w:bottom w:w="60" w:type="dxa"/>
              <w:left w:w="100" w:type="dxa"/>
              <w:right w:w="100" w:type="dxa"/>
            </w:tcMar>
          </w:tcPr>
          <w:p>
            <w:r>
              <w:rPr>
                <w:rFonts w:ascii="Arial" w:hAnsi="Arial"/>
                <w:sz w:val="18"/>
              </w:rPr>
              <w:t>7,62 µg/m³</w:t>
            </w:r>
          </w:p>
        </w:tc>
        <w:tc>
          <w:tcPr>
            <w:tcW w:type="dxa" w:w="2016"/>
            <w:shd w:fill="F2F5F9"/>
            <w:tcMar>
              <w:top w:w="60" w:type="dxa"/>
              <w:bottom w:w="60" w:type="dxa"/>
              <w:left w:w="100" w:type="dxa"/>
              <w:right w:w="100" w:type="dxa"/>
            </w:tcMar>
          </w:tcPr>
          <w:p>
            <w:r>
              <w:rPr>
                <w:rFonts w:ascii="Arial" w:hAnsi="Arial"/>
                <w:sz w:val="18"/>
              </w:rPr>
              <w:t>-0,83 µg/m³</w:t>
            </w:r>
          </w:p>
        </w:tc>
        <w:tc>
          <w:tcPr>
            <w:tcW w:type="dxa" w:w="2016"/>
            <w:shd w:fill="F2F5F9"/>
            <w:tcMar>
              <w:top w:w="60" w:type="dxa"/>
              <w:bottom w:w="60" w:type="dxa"/>
              <w:left w:w="100" w:type="dxa"/>
              <w:right w:w="100" w:type="dxa"/>
            </w:tcMar>
          </w:tcPr>
          <w:p>
            <w:r>
              <w:rPr>
                <w:rFonts w:ascii="Arial" w:hAnsi="Arial"/>
                <w:sz w:val="18"/>
              </w:rPr>
              <w:t>-9,82%</w:t>
            </w:r>
          </w:p>
        </w:tc>
      </w:tr>
      <w:tr>
        <w:tc>
          <w:tcPr>
            <w:tcW w:type="dxa" w:w="2016"/>
            <w:shd w:fill="FFFFFF"/>
            <w:tcMar>
              <w:top w:w="60" w:type="dxa"/>
              <w:bottom w:w="60" w:type="dxa"/>
              <w:left w:w="100" w:type="dxa"/>
              <w:right w:w="100" w:type="dxa"/>
            </w:tcMar>
          </w:tcPr>
          <w:p>
            <w:r>
              <w:rPr>
                <w:rFonts w:ascii="Arial" w:hAnsi="Arial"/>
                <w:b w:val="0"/>
                <w:sz w:val="18"/>
              </w:rPr>
              <w:t>Estación Mazarredo (Interior)</w:t>
            </w:r>
          </w:p>
        </w:tc>
        <w:tc>
          <w:tcPr>
            <w:tcW w:type="dxa" w:w="2016"/>
            <w:shd w:fill="FFFFFF"/>
            <w:tcMar>
              <w:top w:w="60" w:type="dxa"/>
              <w:bottom w:w="60" w:type="dxa"/>
              <w:left w:w="100" w:type="dxa"/>
              <w:right w:w="100" w:type="dxa"/>
            </w:tcMar>
          </w:tcPr>
          <w:p>
            <w:r>
              <w:rPr>
                <w:rFonts w:ascii="Arial" w:hAnsi="Arial"/>
                <w:sz w:val="18"/>
              </w:rPr>
              <w:t>26,85 µg/m³</w:t>
            </w:r>
          </w:p>
        </w:tc>
        <w:tc>
          <w:tcPr>
            <w:tcW w:type="dxa" w:w="2016"/>
            <w:shd w:fill="FFFFFF"/>
            <w:tcMar>
              <w:top w:w="60" w:type="dxa"/>
              <w:bottom w:w="60" w:type="dxa"/>
              <w:left w:w="100" w:type="dxa"/>
              <w:right w:w="100" w:type="dxa"/>
            </w:tcMar>
          </w:tcPr>
          <w:p>
            <w:r>
              <w:rPr>
                <w:rFonts w:ascii="Arial" w:hAnsi="Arial"/>
                <w:sz w:val="18"/>
              </w:rPr>
              <w:t>22,10 µg/m³</w:t>
            </w:r>
          </w:p>
        </w:tc>
        <w:tc>
          <w:tcPr>
            <w:tcW w:type="dxa" w:w="2016"/>
            <w:shd w:fill="FFFFFF"/>
            <w:tcMar>
              <w:top w:w="60" w:type="dxa"/>
              <w:bottom w:w="60" w:type="dxa"/>
              <w:left w:w="100" w:type="dxa"/>
              <w:right w:w="100" w:type="dxa"/>
            </w:tcMar>
          </w:tcPr>
          <w:p>
            <w:r>
              <w:rPr>
                <w:rFonts w:ascii="Arial" w:hAnsi="Arial"/>
                <w:sz w:val="18"/>
              </w:rPr>
              <w:t>-4,75 µg/m³</w:t>
            </w:r>
          </w:p>
        </w:tc>
        <w:tc>
          <w:tcPr>
            <w:tcW w:type="dxa" w:w="2016"/>
            <w:shd w:fill="FFFFFF"/>
            <w:tcMar>
              <w:top w:w="60" w:type="dxa"/>
              <w:bottom w:w="60" w:type="dxa"/>
              <w:left w:w="100" w:type="dxa"/>
              <w:right w:w="100" w:type="dxa"/>
            </w:tcMar>
          </w:tcPr>
          <w:p>
            <w:r>
              <w:rPr>
                <w:rFonts w:ascii="Arial" w:hAnsi="Arial"/>
                <w:sz w:val="18"/>
              </w:rPr>
              <w:t>-17,69%</w:t>
            </w:r>
          </w:p>
        </w:tc>
      </w:tr>
      <w:tr>
        <w:tc>
          <w:tcPr>
            <w:tcW w:type="dxa" w:w="2016"/>
            <w:shd w:fill="F2F5F9"/>
            <w:tcMar>
              <w:top w:w="60" w:type="dxa"/>
              <w:bottom w:w="60" w:type="dxa"/>
              <w:left w:w="100" w:type="dxa"/>
              <w:right w:w="100" w:type="dxa"/>
            </w:tcMar>
          </w:tcPr>
          <w:p>
            <w:r>
              <w:rPr>
                <w:rFonts w:ascii="Arial" w:hAnsi="Arial"/>
                <w:b w:val="0"/>
                <w:sz w:val="18"/>
              </w:rPr>
              <w:t>Estación Europa (Bilbao Norte Control)</w:t>
            </w:r>
          </w:p>
        </w:tc>
        <w:tc>
          <w:tcPr>
            <w:tcW w:type="dxa" w:w="2016"/>
            <w:shd w:fill="F2F5F9"/>
            <w:tcMar>
              <w:top w:w="60" w:type="dxa"/>
              <w:bottom w:w="60" w:type="dxa"/>
              <w:left w:w="100" w:type="dxa"/>
              <w:right w:w="100" w:type="dxa"/>
            </w:tcMar>
          </w:tcPr>
          <w:p>
            <w:r>
              <w:rPr>
                <w:rFonts w:ascii="Arial" w:hAnsi="Arial"/>
                <w:sz w:val="18"/>
              </w:rPr>
              <w:t>21,30 µg/m³</w:t>
            </w:r>
          </w:p>
        </w:tc>
        <w:tc>
          <w:tcPr>
            <w:tcW w:type="dxa" w:w="2016"/>
            <w:shd w:fill="F2F5F9"/>
            <w:tcMar>
              <w:top w:w="60" w:type="dxa"/>
              <w:bottom w:w="60" w:type="dxa"/>
              <w:left w:w="100" w:type="dxa"/>
              <w:right w:w="100" w:type="dxa"/>
            </w:tcMar>
          </w:tcPr>
          <w:p>
            <w:r>
              <w:rPr>
                <w:rFonts w:ascii="Arial" w:hAnsi="Arial"/>
                <w:sz w:val="18"/>
              </w:rPr>
              <w:t>18,35 µg/m³</w:t>
            </w:r>
          </w:p>
        </w:tc>
        <w:tc>
          <w:tcPr>
            <w:tcW w:type="dxa" w:w="2016"/>
            <w:shd w:fill="F2F5F9"/>
            <w:tcMar>
              <w:top w:w="60" w:type="dxa"/>
              <w:bottom w:w="60" w:type="dxa"/>
              <w:left w:w="100" w:type="dxa"/>
              <w:right w:w="100" w:type="dxa"/>
            </w:tcMar>
          </w:tcPr>
          <w:p>
            <w:r>
              <w:rPr>
                <w:rFonts w:ascii="Arial" w:hAnsi="Arial"/>
                <w:sz w:val="18"/>
              </w:rPr>
              <w:t>-2,95 µg/m³</w:t>
            </w:r>
          </w:p>
        </w:tc>
        <w:tc>
          <w:tcPr>
            <w:tcW w:type="dxa" w:w="2016"/>
            <w:shd w:fill="F2F5F9"/>
            <w:tcMar>
              <w:top w:w="60" w:type="dxa"/>
              <w:bottom w:w="60" w:type="dxa"/>
              <w:left w:w="100" w:type="dxa"/>
              <w:right w:w="100" w:type="dxa"/>
            </w:tcMar>
          </w:tcPr>
          <w:p>
            <w:r>
              <w:rPr>
                <w:rFonts w:ascii="Arial" w:hAnsi="Arial"/>
                <w:sz w:val="18"/>
              </w:rPr>
              <w:t>-13,85%</w:t>
            </w:r>
          </w:p>
        </w:tc>
      </w:tr>
    </w:tbl>
    <w:p>
      <w:pPr>
        <w:spacing w:before="160" w:after="40"/>
      </w:pPr>
      <w:r>
        <w:rPr>
          <w:rFonts w:ascii="Arial" w:hAnsi="Arial"/>
          <w:b/>
          <w:color w:val="0F2043"/>
          <w:sz w:val="24"/>
        </w:rPr>
        <w:t>5. Visualizaciones seleccionadas e interpretación causal (Bloque 1)</w:t>
      </w:r>
    </w:p>
    <w:p>
      <w:pPr>
        <w:spacing w:before="100" w:after="40"/>
      </w:pPr>
      <w:r>
        <w:rPr>
          <w:rFonts w:ascii="Arial" w:hAnsi="Arial"/>
          <w:b/>
          <w:color w:val="324B6E"/>
          <w:sz w:val="21"/>
        </w:rPr>
        <w:t>Figura 1: Evolución mensual del NO2 dentro vs. fuera de la ZBE (2022–2026)</w:t>
      </w:r>
    </w:p>
    <w:p>
      <w:r>
        <w:rPr>
          <w:b/>
        </w:rPr>
        <w:t xml:space="preserve">• Presentación: </w:t>
      </w:r>
      <w:r>
        <w:t>Se compara la trayectoria temporal mensual media de NO2 entre las estaciones interiores (Abando) y las estaciones de control del Gran Bilbao entre enero de 2022 y febrero de 2026, señalando la entrada en vigor de la Fase 1.</w:t>
      </w:r>
    </w:p>
    <w:p>
      <w:pPr>
        <w:spacing w:before="40" w:after="40"/>
        <w:jc w:val="center"/>
      </w:pPr>
    </w:p>
    <w:p>
      <w:r>
        <w:drawing>
          <wp:inline xmlns:a="http://schemas.openxmlformats.org/drawingml/2006/main" xmlns:pic="http://schemas.openxmlformats.org/drawingml/2006/picture">
            <wp:extent cx="5120640" cy="2363372"/>
            <wp:docPr id="1" name="Picture 1"/>
            <wp:cNvGraphicFramePr>
              <a:graphicFrameLocks noChangeAspect="1"/>
            </wp:cNvGraphicFramePr>
            <a:graphic>
              <a:graphicData uri="http://schemas.openxmlformats.org/drawingml/2006/picture">
                <pic:pic>
                  <pic:nvPicPr>
                    <pic:cNvPr id="0" name="g1_evolucion_mensual_no2.png"/>
                    <pic:cNvPicPr/>
                  </pic:nvPicPr>
                  <pic:blipFill>
                    <a:blip r:embed="rId9"/>
                    <a:stretch>
                      <a:fillRect/>
                    </a:stretch>
                  </pic:blipFill>
                  <pic:spPr>
                    <a:xfrm>
                      <a:off x="0" y="0"/>
                      <a:ext cx="5120640" cy="2363372"/>
                    </a:xfrm>
                    <a:prstGeom prst="rect"/>
                  </pic:spPr>
                </pic:pic>
              </a:graphicData>
            </a:graphic>
          </wp:inline>
        </w:drawing>
      </w:r>
    </w:p>
    <w:p>
      <w:r>
        <w:rPr>
          <w:b/>
        </w:rPr>
        <w:t xml:space="preserve">• Interpretación: </w:t>
      </w:r>
      <w:r>
        <w:t>En el periodo pre-ZBE ambas series evolucionan de forma sincrónica con picos invernales debidos a la inversión térmica. Tras junio de 2024, la serie interior experimenta un desacople a la baja: mientras en los inviernos de 2022 y 2023 se superaban los 34 µg/m³, en el invierno de 2024–2025 el máximo interior no superó los 28 µg/m³, confirmando un cambio estructural exclusivo del centro urbano.</w:t>
      </w:r>
    </w:p>
    <w:p>
      <w:pPr>
        <w:spacing w:before="100" w:after="40"/>
      </w:pPr>
      <w:r>
        <w:rPr>
          <w:rFonts w:ascii="Arial" w:hAnsi="Arial"/>
          <w:b/>
          <w:color w:val="324B6E"/>
          <w:sz w:val="21"/>
        </w:rPr>
        <w:t>Figura 2: Modelo cuasiexperimental de Diferencias en Diferencias (Diff-in-Diff)</w:t>
      </w:r>
    </w:p>
    <w:p>
      <w:r>
        <w:rPr>
          <w:b/>
        </w:rPr>
        <w:t xml:space="preserve">• Presentación: </w:t>
      </w:r>
      <w:r>
        <w:t>Representación de la trayectoria observada del grupo de tratamiento (Dentro ZBE) frente a la trayectoria contrafactual proyectada a partir del grupo de control exterior.</w:t>
      </w:r>
    </w:p>
    <w:p>
      <w:pPr>
        <w:spacing w:before="40" w:after="40"/>
        <w:jc w:val="center"/>
      </w:pPr>
    </w:p>
    <w:p>
      <w:r>
        <w:drawing>
          <wp:inline xmlns:a="http://schemas.openxmlformats.org/drawingml/2006/main" xmlns:pic="http://schemas.openxmlformats.org/drawingml/2006/picture">
            <wp:extent cx="5120640" cy="2844800"/>
            <wp:docPr id="2" name="Picture 2"/>
            <wp:cNvGraphicFramePr>
              <a:graphicFrameLocks noChangeAspect="1"/>
            </wp:cNvGraphicFramePr>
            <a:graphic>
              <a:graphicData uri="http://schemas.openxmlformats.org/drawingml/2006/picture">
                <pic:pic>
                  <pic:nvPicPr>
                    <pic:cNvPr id="0" name="g2_diff_in_diff_visual.png"/>
                    <pic:cNvPicPr/>
                  </pic:nvPicPr>
                  <pic:blipFill>
                    <a:blip r:embed="rId10"/>
                    <a:stretch>
                      <a:fillRect/>
                    </a:stretch>
                  </pic:blipFill>
                  <pic:spPr>
                    <a:xfrm>
                      <a:off x="0" y="0"/>
                      <a:ext cx="5120640" cy="2844800"/>
                    </a:xfrm>
                    <a:prstGeom prst="rect"/>
                  </pic:spPr>
                </pic:pic>
              </a:graphicData>
            </a:graphic>
          </wp:inline>
        </w:drawing>
      </w:r>
    </w:p>
    <w:p>
      <w:r>
        <w:rPr>
          <w:b/>
        </w:rPr>
        <w:t xml:space="preserve">• Interpretación: </w:t>
      </w:r>
      <w:r>
        <w:t>En ausencia de la ZBE, el interior de Bilbao habría seguido la línea contrafactual estimada (descenso esperado a 22,52 µg/m³). La concentración real cayó a 21,24 µg/m³. La brecha neta entre ambas líneas cuantifica el efecto directo de la ordenanza municipal: -1,28 µg/m³ adicionales de reducción neta atribuible (p-valor &lt; 0,05).</w:t>
      </w:r>
    </w:p>
    <w:p>
      <w:r>
        <w:br w:type="page"/>
      </w:r>
    </w:p>
    <w:p>
      <w:pPr>
        <w:spacing w:before="160" w:after="40"/>
      </w:pPr>
      <w:r>
        <w:rPr>
          <w:rFonts w:ascii="Arial" w:hAnsi="Arial"/>
          <w:b/>
          <w:color w:val="0F2043"/>
          <w:sz w:val="24"/>
        </w:rPr>
        <w:t>5. Visualizaciones seleccionadas e interpretación causal (Bloque 2)</w:t>
      </w:r>
    </w:p>
    <w:p>
      <w:pPr>
        <w:spacing w:before="100" w:after="40"/>
      </w:pPr>
      <w:r>
        <w:rPr>
          <w:rFonts w:ascii="Arial" w:hAnsi="Arial"/>
          <w:b/>
          <w:color w:val="324B6E"/>
          <w:sz w:val="21"/>
        </w:rPr>
        <w:t>Figura 3: Comportamiento del NO2 bajo condiciones de calma atmosférica (&lt; 2 m/s)</w:t>
      </w:r>
    </w:p>
    <w:p>
      <w:r>
        <w:rPr>
          <w:b/>
        </w:rPr>
        <w:t xml:space="preserve">• Presentación: </w:t>
      </w:r>
      <w:r>
        <w:t>Aislamiento de episodios de baja ventilación según registros de velocidad del viento, evaluando el impacto local en los escenarios meteorológicos más adversos para la salud pública.</w:t>
      </w:r>
    </w:p>
    <w:p>
      <w:pPr>
        <w:spacing w:before="40" w:after="40"/>
        <w:jc w:val="center"/>
      </w:pPr>
    </w:p>
    <w:p>
      <w:r>
        <w:drawing>
          <wp:inline xmlns:a="http://schemas.openxmlformats.org/drawingml/2006/main" xmlns:pic="http://schemas.openxmlformats.org/drawingml/2006/picture">
            <wp:extent cx="5029200" cy="2794000"/>
            <wp:docPr id="3" name="Picture 3"/>
            <wp:cNvGraphicFramePr>
              <a:graphicFrameLocks noChangeAspect="1"/>
            </wp:cNvGraphicFramePr>
            <a:graphic>
              <a:graphicData uri="http://schemas.openxmlformats.org/drawingml/2006/picture">
                <pic:pic>
                  <pic:nvPicPr>
                    <pic:cNvPr id="0" name="g6_dispersion_no2_viento.png"/>
                    <pic:cNvPicPr/>
                  </pic:nvPicPr>
                  <pic:blipFill>
                    <a:blip r:embed="rId11"/>
                    <a:stretch>
                      <a:fillRect/>
                    </a:stretch>
                  </pic:blipFill>
                  <pic:spPr>
                    <a:xfrm>
                      <a:off x="0" y="0"/>
                      <a:ext cx="5029200" cy="2794000"/>
                    </a:xfrm>
                    <a:prstGeom prst="rect"/>
                  </pic:spPr>
                </pic:pic>
              </a:graphicData>
            </a:graphic>
          </wp:inline>
        </w:drawing>
      </w:r>
    </w:p>
    <w:p>
      <w:r>
        <w:rPr>
          <w:b/>
        </w:rPr>
        <w:t xml:space="preserve">• Interpretación: </w:t>
      </w:r>
      <w:r>
        <w:t>Con vientos superiores a 5 m/s la dilución natural homogeneiza el aire metropolitano. En cambio, en episodios de calma (&lt; 2 m/s), donde no existe renovación mecánica, el NO2 dentro de la ZBE descendió de 30,6 µg/m³ a 24,3 µg/m³ (-20,5%). Esto demuestra que la política municipal resulta especialmente eficaz cuando la atmósfera es incapaz de limpiar el contaminante por sí misma.</w:t>
      </w:r>
    </w:p>
    <w:p>
      <w:pPr>
        <w:spacing w:before="100" w:after="40"/>
      </w:pPr>
      <w:r>
        <w:rPr>
          <w:rFonts w:ascii="Arial" w:hAnsi="Arial"/>
          <w:b/>
          <w:color w:val="324B6E"/>
          <w:sz w:val="21"/>
        </w:rPr>
        <w:t>Figura 4: Panel multivariable de decisión y correlación con aforos de tráfico</w:t>
      </w:r>
    </w:p>
    <w:p>
      <w:r>
        <w:rPr>
          <w:b/>
        </w:rPr>
        <w:t xml:space="preserve">• Presentación: </w:t>
      </w:r>
      <w:r>
        <w:t>Síntesis ejecutiva de cuatro cuadrantes integrando concentraciones de NO2, evolución de aforos de vehículos diarios en los accesos a Bilbao y cumplimiento del límite anual de la directiva europea (40 µg/m³).</w:t>
      </w:r>
    </w:p>
    <w:p>
      <w:pPr>
        <w:spacing w:before="40" w:after="40"/>
        <w:jc w:val="center"/>
      </w:pPr>
    </w:p>
    <w:p>
      <w:r>
        <w:drawing>
          <wp:inline xmlns:a="http://schemas.openxmlformats.org/drawingml/2006/main" xmlns:pic="http://schemas.openxmlformats.org/drawingml/2006/picture">
            <wp:extent cx="5029200" cy="3334225"/>
            <wp:docPr id="4" name="Picture 4"/>
            <wp:cNvGraphicFramePr>
              <a:graphicFrameLocks noChangeAspect="1"/>
            </wp:cNvGraphicFramePr>
            <a:graphic>
              <a:graphicData uri="http://schemas.openxmlformats.org/drawingml/2006/picture">
                <pic:pic>
                  <pic:nvPicPr>
                    <pic:cNvPr id="0" name="dashboard_decision_v1.png"/>
                    <pic:cNvPicPr/>
                  </pic:nvPicPr>
                  <pic:blipFill>
                    <a:blip r:embed="rId12"/>
                    <a:stretch>
                      <a:fillRect/>
                    </a:stretch>
                  </pic:blipFill>
                  <pic:spPr>
                    <a:xfrm>
                      <a:off x="0" y="0"/>
                      <a:ext cx="5029200" cy="3334225"/>
                    </a:xfrm>
                    <a:prstGeom prst="rect"/>
                  </pic:spPr>
                </pic:pic>
              </a:graphicData>
            </a:graphic>
          </wp:inline>
        </w:drawing>
      </w:r>
    </w:p>
    <w:p>
      <w:r>
        <w:rPr>
          <w:b/>
        </w:rPr>
        <w:t xml:space="preserve">• Interpretación: </w:t>
      </w:r>
      <w:r>
        <w:t>La disminución en la concentración de contaminantes concuerda con una caída del 10,12% en el tráfico diario del acceso principal de San Mamés (-5.075 vehículos/día laborable). Las vías de circunvalación no experimentaron un trasvase de saturación desproporcionado, lo que valida que la ZBE logró un efecto disuasorio neto y no una mera transferencia del tráfico hacia barrios limítrofes.</w:t>
      </w:r>
    </w:p>
    <w:p>
      <w:r>
        <w:br w:type="page"/>
      </w:r>
    </w:p>
    <w:p>
      <w:pPr>
        <w:spacing w:before="160" w:after="40"/>
      </w:pPr>
      <w:r>
        <w:rPr>
          <w:rFonts w:ascii="Arial" w:hAnsi="Arial"/>
          <w:b/>
          <w:color w:val="0F2043"/>
          <w:sz w:val="24"/>
        </w:rPr>
        <w:t>6. Conclusiones estratégicas para el cliente</w:t>
      </w:r>
    </w:p>
    <w:p>
      <w:r>
        <w:rPr>
          <w:b/>
        </w:rPr>
        <w:t xml:space="preserve">1. Impacto neto real y probado: </w:t>
      </w:r>
      <w:r>
        <w:t>La implantación de la ZBE en Abando ha logrado una reducción neta atribuible de -1,28 µg/m³ (-6% a -8% adicional sobre la inercia metropolitana), concentrada en días laborales y horario regulado.</w:t>
        <w:br/>
      </w:r>
      <w:r>
        <w:rPr>
          <w:b/>
        </w:rPr>
        <w:t xml:space="preserve">2. Protección reforzada en días críticos: </w:t>
      </w:r>
      <w:r>
        <w:t>El mayor beneficio sanitario se da en episodios de calma invernal, donde la reducción interior alcanza el -20,5%, evitando picos agudos de exposición para la población residente y laboral.</w:t>
        <w:br/>
      </w:r>
      <w:r>
        <w:rPr>
          <w:b/>
        </w:rPr>
        <w:t xml:space="preserve">3. Efecto decreciente en Fase 2: </w:t>
      </w:r>
      <w:r>
        <w:t>La Fase 1 (sin etiqueta) concentró el 78% de la mejora. La Fase 2 (etiqueta B) ha mostrado un impacto marginal menor debido a las moratorias y autorizaciones vigentes, requiriendo ajustes de gestión.</w:t>
      </w:r>
    </w:p>
    <w:p>
      <w:pPr>
        <w:spacing w:before="160" w:after="40"/>
      </w:pPr>
      <w:r>
        <w:rPr>
          <w:rFonts w:ascii="Arial" w:hAnsi="Arial"/>
          <w:b/>
          <w:color w:val="0F2043"/>
          <w:sz w:val="24"/>
        </w:rPr>
        <w:t>7. Recomendaciones de política pública y movilidad</w:t>
      </w:r>
    </w:p>
    <w:p>
      <w:r>
        <w:rPr>
          <w:b/>
        </w:rPr>
        <w:t xml:space="preserve">• Auditoría de exenciones: </w:t>
      </w:r>
      <w:r>
        <w:t>Revisar el catálogo de accesos excepcionales de la Fase 2 para evitar fugas de tráfico hacia parkings subterráneos.</w:t>
        <w:br/>
      </w:r>
      <w:r>
        <w:rPr>
          <w:b/>
        </w:rPr>
        <w:t xml:space="preserve">• Micro-sensorización IoT: </w:t>
      </w:r>
      <w:r>
        <w:t>Instalar sensores calibrados complementarios en cañones urbanos de alta exposición (Alameda Urquijo y entornos escolares).</w:t>
        <w:br/>
      </w:r>
      <w:r>
        <w:rPr>
          <w:b/>
        </w:rPr>
        <w:t xml:space="preserve">• Consolidación horaria: </w:t>
      </w:r>
      <w:r>
        <w:t>Mantener la vigencia de 7:00 a 20:00, ya que los datos descartan la necesidad de gravar la circulación nocturna.</w:t>
      </w:r>
    </w:p>
    <w:p>
      <w:pPr>
        <w:spacing w:before="160" w:after="40"/>
      </w:pPr>
      <w:r>
        <w:rPr>
          <w:rFonts w:ascii="Arial" w:hAnsi="Arial"/>
          <w:b/>
          <w:color w:val="0F2043"/>
          <w:sz w:val="24"/>
        </w:rPr>
        <w:t>8. Justificación de la selección de herramientas tecnológicas</w:t>
      </w:r>
    </w:p>
    <w:p>
      <w:r>
        <w:t>• Python + Pandas / Statsmodels: Elegido para el análisis batch por su eficiencia vectorizada y soporte econométrico de regresión lineal robusta.</w:t>
        <w:br/>
        <w:t>• InfluxDB 2.9 (TSDB): Base de datos especializada en series temporales de alta frecuencia, con compresión TSM y retención automatizada.</w:t>
        <w:br/>
        <w:t>• Node-RED: Orquestador ligero de ingesta en tiempo real con tolerancia a caídas y transformación nativa a Line Protocol.</w:t>
        <w:br/>
        <w:t>• Grafana 11.2: Plataforma de monitorización con consultas Flux, gestión de roles de acceso (RBAC) y paneles ejecutivos.</w:t>
        <w:br/>
        <w:t>• Docker y Compose: Contenerización que asegura la reproducibilidad íntegra del pipeline en cualquier estación de trabajo.</w:t>
      </w:r>
    </w:p>
    <w:p>
      <w:pPr>
        <w:spacing w:before="160" w:after="40"/>
      </w:pPr>
      <w:r>
        <w:rPr>
          <w:rFonts w:ascii="Arial" w:hAnsi="Arial"/>
          <w:b/>
          <w:color w:val="0F2043"/>
          <w:sz w:val="24"/>
        </w:rPr>
        <w:t>9. Organización temporal y reparto de responsabilidades (Matriz RACI)</w:t>
      </w:r>
    </w:p>
    <w:tbl>
      <w:tblPr>
        <w:tblW w:type="auto" w:w="0"/>
        <w:jc w:val="center"/>
        <w:tblLook w:firstColumn="1" w:firstRow="1" w:lastColumn="0" w:lastRow="0" w:noHBand="0" w:noVBand="1" w:val="04A0"/>
      </w:tblPr>
      <w:tblGrid>
        <w:gridCol w:w="3360"/>
        <w:gridCol w:w="3360"/>
        <w:gridCol w:w="3360"/>
      </w:tblGrid>
      <w:tr>
        <w:tc>
          <w:tcPr>
            <w:tcW w:type="dxa" w:w="3360"/>
            <w:shd w:fill="1F497D"/>
            <w:tcMar>
              <w:top w:w="60" w:type="dxa"/>
              <w:bottom w:w="60" w:type="dxa"/>
              <w:left w:w="80" w:type="dxa"/>
              <w:right w:w="80" w:type="dxa"/>
            </w:tcMar>
          </w:tcPr>
          <w:p>
            <w:r>
              <w:rPr>
                <w:rFonts w:ascii="Arial" w:hAnsi="Arial"/>
                <w:b/>
                <w:color w:val="FFFFFF"/>
                <w:sz w:val="17"/>
              </w:rPr>
              <w:t>Miembro del equipo</w:t>
            </w:r>
          </w:p>
        </w:tc>
        <w:tc>
          <w:tcPr>
            <w:tcW w:type="dxa" w:w="3360"/>
            <w:shd w:fill="1F497D"/>
            <w:tcMar>
              <w:top w:w="60" w:type="dxa"/>
              <w:bottom w:w="60" w:type="dxa"/>
              <w:left w:w="80" w:type="dxa"/>
              <w:right w:w="80" w:type="dxa"/>
            </w:tcMar>
          </w:tcPr>
          <w:p>
            <w:r>
              <w:rPr>
                <w:rFonts w:ascii="Arial" w:hAnsi="Arial"/>
                <w:b/>
                <w:color w:val="FFFFFF"/>
                <w:sz w:val="17"/>
              </w:rPr>
              <w:t>Rol en el proyecto</w:t>
            </w:r>
          </w:p>
        </w:tc>
        <w:tc>
          <w:tcPr>
            <w:tcW w:type="dxa" w:w="3360"/>
            <w:shd w:fill="1F497D"/>
            <w:tcMar>
              <w:top w:w="60" w:type="dxa"/>
              <w:bottom w:w="60" w:type="dxa"/>
              <w:left w:w="80" w:type="dxa"/>
              <w:right w:w="80" w:type="dxa"/>
            </w:tcMar>
          </w:tcPr>
          <w:p>
            <w:r>
              <w:rPr>
                <w:rFonts w:ascii="Arial" w:hAnsi="Arial"/>
                <w:b/>
                <w:color w:val="FFFFFF"/>
                <w:sz w:val="17"/>
              </w:rPr>
              <w:t>Tareas principales realizadas</w:t>
            </w:r>
          </w:p>
        </w:tc>
      </w:tr>
      <w:tr>
        <w:tc>
          <w:tcPr>
            <w:tcW w:type="dxa" w:w="3360"/>
            <w:shd w:fill="F2F5F9"/>
            <w:tcMar>
              <w:top w:w="50" w:type="dxa"/>
              <w:bottom w:w="50" w:type="dxa"/>
              <w:left w:w="80" w:type="dxa"/>
              <w:right w:w="80" w:type="dxa"/>
            </w:tcMar>
          </w:tcPr>
          <w:p>
            <w:r>
              <w:rPr>
                <w:rFonts w:ascii="Arial" w:hAnsi="Arial"/>
                <w:b/>
                <w:sz w:val="17"/>
              </w:rPr>
              <w:t>Alfred Gabriel</w:t>
            </w:r>
          </w:p>
        </w:tc>
        <w:tc>
          <w:tcPr>
            <w:tcW w:type="dxa" w:w="3360"/>
            <w:shd w:fill="F2F5F9"/>
            <w:tcMar>
              <w:top w:w="50" w:type="dxa"/>
              <w:bottom w:w="50" w:type="dxa"/>
              <w:left w:w="80" w:type="dxa"/>
              <w:right w:w="80" w:type="dxa"/>
            </w:tcMar>
          </w:tcPr>
          <w:p>
            <w:r>
              <w:rPr>
                <w:rFonts w:ascii="Arial" w:hAnsi="Arial"/>
                <w:sz w:val="17"/>
              </w:rPr>
              <w:t>Ingeniería de datos y modelado SBD</w:t>
            </w:r>
          </w:p>
        </w:tc>
        <w:tc>
          <w:tcPr>
            <w:tcW w:type="dxa" w:w="3360"/>
            <w:shd w:fill="F2F5F9"/>
            <w:tcMar>
              <w:top w:w="50" w:type="dxa"/>
              <w:bottom w:w="50" w:type="dxa"/>
              <w:left w:w="80" w:type="dxa"/>
              <w:right w:w="80" w:type="dxa"/>
            </w:tcMar>
          </w:tcPr>
          <w:p>
            <w:r>
              <w:rPr>
                <w:rFonts w:ascii="Arial" w:hAnsi="Arial"/>
                <w:sz w:val="17"/>
              </w:rPr>
              <w:t>Pipeline de descarga e integración (descargar_y_limpiar.py), modelo Diff-in-Diff y cuaderno Jupyter.</w:t>
            </w:r>
          </w:p>
        </w:tc>
      </w:tr>
      <w:tr>
        <w:tc>
          <w:tcPr>
            <w:tcW w:type="dxa" w:w="3360"/>
            <w:shd w:fill="FFFFFF"/>
            <w:tcMar>
              <w:top w:w="50" w:type="dxa"/>
              <w:bottom w:w="50" w:type="dxa"/>
              <w:left w:w="80" w:type="dxa"/>
              <w:right w:w="80" w:type="dxa"/>
            </w:tcMar>
          </w:tcPr>
          <w:p>
            <w:r>
              <w:rPr>
                <w:rFonts w:ascii="Arial" w:hAnsi="Arial"/>
                <w:b/>
                <w:sz w:val="17"/>
              </w:rPr>
              <w:t>Íñigo</w:t>
            </w:r>
          </w:p>
        </w:tc>
        <w:tc>
          <w:tcPr>
            <w:tcW w:type="dxa" w:w="3360"/>
            <w:shd w:fill="FFFFFF"/>
            <w:tcMar>
              <w:top w:w="50" w:type="dxa"/>
              <w:bottom w:w="50" w:type="dxa"/>
              <w:left w:w="80" w:type="dxa"/>
              <w:right w:w="80" w:type="dxa"/>
            </w:tcMar>
          </w:tcPr>
          <w:p>
            <w:r>
              <w:rPr>
                <w:rFonts w:ascii="Arial" w:hAnsi="Arial"/>
                <w:sz w:val="17"/>
              </w:rPr>
              <w:t>Calidad de datos y comunicación ejecutiva</w:t>
            </w:r>
          </w:p>
        </w:tc>
        <w:tc>
          <w:tcPr>
            <w:tcW w:type="dxa" w:w="3360"/>
            <w:shd w:fill="FFFFFF"/>
            <w:tcMar>
              <w:top w:w="50" w:type="dxa"/>
              <w:bottom w:w="50" w:type="dxa"/>
              <w:left w:w="80" w:type="dxa"/>
              <w:right w:w="80" w:type="dxa"/>
            </w:tcMar>
          </w:tcPr>
          <w:p>
            <w:r>
              <w:rPr>
                <w:rFonts w:ascii="Arial" w:hAnsi="Arial"/>
                <w:sz w:val="17"/>
              </w:rPr>
              <w:t>Control de anomalías, diseño de visualizaciones (g1 a g10), contraste de aforos y síntesis del informe de 4 páginas.</w:t>
            </w:r>
          </w:p>
        </w:tc>
      </w:tr>
      <w:tr>
        <w:tc>
          <w:tcPr>
            <w:tcW w:type="dxa" w:w="3360"/>
            <w:shd w:fill="F2F5F9"/>
            <w:tcMar>
              <w:top w:w="50" w:type="dxa"/>
              <w:bottom w:w="50" w:type="dxa"/>
              <w:left w:w="80" w:type="dxa"/>
              <w:right w:w="80" w:type="dxa"/>
            </w:tcMar>
          </w:tcPr>
          <w:p>
            <w:r>
              <w:rPr>
                <w:rFonts w:ascii="Arial" w:hAnsi="Arial"/>
                <w:b/>
                <w:sz w:val="17"/>
              </w:rPr>
              <w:t>Kerman</w:t>
            </w:r>
          </w:p>
        </w:tc>
        <w:tc>
          <w:tcPr>
            <w:tcW w:type="dxa" w:w="3360"/>
            <w:shd w:fill="F2F5F9"/>
            <w:tcMar>
              <w:top w:w="50" w:type="dxa"/>
              <w:bottom w:w="50" w:type="dxa"/>
              <w:left w:w="80" w:type="dxa"/>
              <w:right w:w="80" w:type="dxa"/>
            </w:tcMar>
          </w:tcPr>
          <w:p>
            <w:r>
              <w:rPr>
                <w:rFonts w:ascii="Arial" w:hAnsi="Arial"/>
                <w:sz w:val="17"/>
              </w:rPr>
              <w:t>Infraestructura BDA y DevOps</w:t>
            </w:r>
          </w:p>
        </w:tc>
        <w:tc>
          <w:tcPr>
            <w:tcW w:type="dxa" w:w="3360"/>
            <w:shd w:fill="F2F5F9"/>
            <w:tcMar>
              <w:top w:w="50" w:type="dxa"/>
              <w:bottom w:w="50" w:type="dxa"/>
              <w:left w:w="80" w:type="dxa"/>
              <w:right w:w="80" w:type="dxa"/>
            </w:tcMar>
          </w:tcPr>
          <w:p>
            <w:r>
              <w:rPr>
                <w:rFonts w:ascii="Arial" w:hAnsi="Arial"/>
                <w:sz w:val="17"/>
              </w:rPr>
              <w:t>Despliegue multicontenedor Docker Compose, buckets y tokens en InfluxDB, flujos Node-RED y cuadro de mando de Grafana.</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