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A819E" w14:textId="77777777" w:rsidR="0077504D" w:rsidRDefault="00EC7433">
      <w:pPr>
        <w:spacing w:before="800" w:after="80"/>
      </w:pPr>
      <w:r>
        <w:rPr>
          <w:b/>
          <w:color w:val="0E7C7B"/>
          <w:sz w:val="17"/>
        </w:rPr>
        <w:t>CENTRO DE FORMACIÓN SOMORROSTRO · CURSO DE ESPECIALIZACIÓN EN IA Y BIG DATA</w:t>
      </w:r>
    </w:p>
    <w:p w14:paraId="1FAB93E5" w14:textId="77777777" w:rsidR="0077504D" w:rsidRDefault="00EC7433">
      <w:pPr>
        <w:spacing w:after="480"/>
      </w:pPr>
      <w:r>
        <w:rPr>
          <w:color w:val="44546A"/>
          <w:sz w:val="20"/>
        </w:rPr>
        <w:t>Módulo Profesional: Sistemas de Big Data (5074) — Reto 0 «HERE WE GO»</w:t>
      </w:r>
    </w:p>
    <w:p w14:paraId="145577A9" w14:textId="77777777" w:rsidR="0077504D" w:rsidRDefault="00EC7433">
      <w:pPr>
        <w:spacing w:after="160"/>
      </w:pPr>
      <w:r>
        <w:rPr>
          <w:b/>
          <w:color w:val="1F2A44"/>
          <w:sz w:val="46"/>
        </w:rPr>
        <w:t>¿Ha funcionado la Zona de Bajas Emisiones de Bilbao?</w:t>
      </w:r>
    </w:p>
    <w:p w14:paraId="2DDC3C1A" w14:textId="77777777" w:rsidR="0077504D" w:rsidRDefault="00EC7433">
      <w:pPr>
        <w:spacing w:after="720"/>
      </w:pPr>
      <w:r>
        <w:rPr>
          <w:color w:val="44546A"/>
          <w:sz w:val="23"/>
        </w:rPr>
        <w:t>Evaluación Causal y Econométrica del Impacto de la ZBE en la Calidad del Aire (2022–2026)</w:t>
      </w:r>
      <w:r>
        <w:rPr>
          <w:color w:val="44546A"/>
          <w:sz w:val="23"/>
        </w:rPr>
        <w:br/>
        <w:t>Diseño Cuasiexperimental de Diferencias en Diferencias frente a Estaciones de Control Metropolitano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800"/>
        <w:gridCol w:w="6800"/>
      </w:tblGrid>
      <w:tr w:rsidR="0077504D" w14:paraId="0FC99D59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FA83A4" w14:textId="77777777" w:rsidR="0077504D" w:rsidRDefault="00EC7433">
            <w:r>
              <w:rPr>
                <w:b/>
                <w:color w:val="1F2A44"/>
                <w:sz w:val="19"/>
              </w:rPr>
              <w:t>Cliente Institucional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990E62" w14:textId="77777777" w:rsidR="0077504D" w:rsidRDefault="00EC7433">
            <w:r>
              <w:rPr>
                <w:sz w:val="19"/>
              </w:rPr>
              <w:t>Ayuntamiento de Bilbao — Área de Movilidad y Sostenibilidad</w:t>
            </w:r>
          </w:p>
        </w:tc>
      </w:tr>
      <w:tr w:rsidR="0077504D" w14:paraId="0377DB22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60758" w14:textId="77777777" w:rsidR="0077504D" w:rsidRDefault="00EC7433">
            <w:r>
              <w:rPr>
                <w:b/>
                <w:color w:val="1F2A44"/>
                <w:sz w:val="19"/>
              </w:rPr>
              <w:t>Equipo Consultor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t>HaizeLab: Alfred Gabriel, Iñigo Guzmán, Kerman Latorre</w:t>
            </w:r>
          </w:p>
        </w:tc>
      </w:tr>
      <w:tr w:rsidR="0077504D" w14:paraId="737F65F4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1E629F" w14:textId="77777777" w:rsidR="0077504D" w:rsidRDefault="00EC7433">
            <w:r>
              <w:rPr>
                <w:b/>
                <w:color w:val="1F2A44"/>
                <w:sz w:val="19"/>
              </w:rPr>
              <w:t>Ámbitos Evaluados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BA3B3D" w14:textId="77777777" w:rsidR="0077504D" w:rsidRDefault="00EC7433">
            <w:r>
              <w:rPr>
                <w:sz w:val="19"/>
              </w:rPr>
              <w:t>Calidad del Aire (Euskadi), Tráfico (Bizkaia) y Meteorología (Open-Meteo)</w:t>
            </w:r>
          </w:p>
        </w:tc>
      </w:tr>
      <w:tr w:rsidR="0077504D" w14:paraId="45CCE99D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7736D3" w14:textId="77777777" w:rsidR="0077504D" w:rsidRDefault="00EC7433">
            <w:r>
              <w:rPr>
                <w:b/>
                <w:color w:val="1F2A44"/>
                <w:sz w:val="19"/>
              </w:rPr>
              <w:t>Fecha de Entrega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7F4026" w14:textId="77777777" w:rsidR="0077504D" w:rsidRDefault="00EC7433">
            <w:r>
              <w:rPr>
                <w:sz w:val="19"/>
              </w:rPr>
              <w:t>Octubre de 2026 · Versión Final para Comité de Dirección</w:t>
            </w:r>
          </w:p>
        </w:tc>
      </w:tr>
    </w:tbl>
    <w:p w14:paraId="612B16F5" w14:textId="77777777" w:rsidR="0077504D" w:rsidRDefault="0077504D">
      <w:pPr>
        <w:spacing w:before="1600"/>
      </w:pPr>
    </w:p>
    <w:p w14:paraId="4D1C968F" w14:textId="77777777" w:rsidR="0077504D" w:rsidRDefault="00EC7433">
      <w:pPr>
        <w:jc w:val="center"/>
      </w:pPr>
      <w:r>
        <w:rPr>
          <w:i/>
          <w:color w:val="44546A"/>
          <w:sz w:val="18"/>
        </w:rPr>
        <w:t>Documento Ejecutivo Oficial — Formato regulado: 4 páginas de cuerpo técnico en Arial 11</w:t>
      </w:r>
    </w:p>
    <w:p w14:paraId="5CC8D8D2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43D47C0C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2032C735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1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7110AB4" w14:textId="77777777" w:rsidR="0077504D" w:rsidRDefault="00EC7433">
            <w:r>
              <w:rPr>
                <w:b/>
                <w:color w:val="1F2A44"/>
              </w:rPr>
              <w:t>Contexto Institucional y Planteamiento del Problema</w:t>
            </w:r>
          </w:p>
        </w:tc>
      </w:tr>
    </w:tbl>
    <w:p w14:paraId="49A7BE56" w14:textId="77777777" w:rsidR="0077504D" w:rsidRDefault="0077504D">
      <w:pPr>
        <w:spacing w:after="40"/>
      </w:pPr>
    </w:p>
    <w:p w14:paraId="433DCB40" w14:textId="77777777" w:rsidR="0077504D" w:rsidRDefault="00EC7433">
      <w:r>
        <w:t>La Zona de Bajas Emisiones (ZBE) de Bilbao opera en el distrito de Abando (2 km²) en horario laborable de lunes a viernes de 07:00 a 20:00 bajo dos escalones regulatorios: la Fase 1 (desde 15/06/2024, restricción a vehículos sin etiqueta DGT) y la Fase 2 (desde 16/06/2025, acceso restringido a etiqueta B de no residentes). El Ayuntamiento de Bilbao encomendó a HaizeLab dictaminar si la evolución observada en el dióxido de nitrógeno (NO2) obedece de forma directa a la ordenanza municipal o si refleja la te</w:t>
      </w:r>
      <w:r>
        <w:t>ndencia meteorológica favorable y la renovación vegetativa del parque vehicular.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1497991D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34AB2035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23FF4F72" w14:textId="77777777" w:rsidR="0077504D" w:rsidRDefault="00EC7433">
            <w:r>
              <w:rPr>
                <w:b/>
                <w:color w:val="1F2A44"/>
              </w:rPr>
              <w:t>Fuentes de Datos Oficiales y Auditoría de Calidad</w:t>
            </w:r>
          </w:p>
        </w:tc>
      </w:tr>
    </w:tbl>
    <w:p w14:paraId="16D9B911" w14:textId="77777777" w:rsidR="0077504D" w:rsidRDefault="0077504D">
      <w:pPr>
        <w:spacing w:after="40"/>
      </w:pPr>
    </w:p>
    <w:p w14:paraId="399D7840" w14:textId="77777777" w:rsidR="0077504D" w:rsidRDefault="00EC7433">
      <w:r>
        <w:t>Se integraron cuatro fuentes oficiales horarias (2022–2026): (1) Red de Calidad del Aire del Gobierno Vasco (8 estaciones estratégicas con mediciones horarias de NO2, PM10 y SO2); (2) Reanálisis meteorológico de Open-Meteo Bilbao (temperatura, precipitación, humedad relativa y velocidad/dirección del viento); (3) Aforos de intensidad vehicular de la Diputación Foral de Bizkaia en accesos y circunvalación; y (4) Calendario oficial de festivos y vigencia horaria de la ZBE.</w:t>
      </w:r>
    </w:p>
    <w:p w14:paraId="691AF621" w14:textId="77777777" w:rsidR="0077504D" w:rsidRDefault="00EC7433">
      <w:r>
        <w:t>Auditoría de integridad: El dataset integrado maestro consolida 332.776 registros horarios en 8 estaciones oficiales. Los valores negativos anómalos (&lt; 0 µg/m³, 0,04% por descalibración del sensor) se convirtieron a NaN sin distorsionar la serie temporal. Se neutralizaron duplicados de cambio horario y se armonizaron las unidades meteorológicas. La serie resultante presenta una completitud temporal superior al 98,8%.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52581DC0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4A6149BF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1570499" w14:textId="77777777" w:rsidR="0077504D" w:rsidRDefault="00EC7433">
            <w:r>
              <w:rPr>
                <w:b/>
                <w:color w:val="1F2A44"/>
              </w:rPr>
              <w:t>Preguntas de Negocio Priorizadas para el Cliente</w:t>
            </w:r>
          </w:p>
        </w:tc>
      </w:tr>
    </w:tbl>
    <w:p w14:paraId="197A231F" w14:textId="77777777" w:rsidR="0077504D" w:rsidRDefault="0077504D">
      <w:pPr>
        <w:spacing w:after="40"/>
      </w:pP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700"/>
        <w:gridCol w:w="8200"/>
      </w:tblGrid>
      <w:tr w:rsidR="0077504D" w14:paraId="5CF81FBF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A223F7" w14:textId="77777777" w:rsidR="0077504D" w:rsidRDefault="00EC7433">
            <w:r>
              <w:rPr>
                <w:b/>
                <w:color w:val="0E7C7B"/>
                <w:sz w:val="18"/>
              </w:rPr>
              <w:t>P1 (Máxima)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4AB46A" w14:textId="77777777" w:rsidR="0077504D" w:rsidRDefault="00EC7433">
            <w:r>
              <w:rPr>
                <w:sz w:val="18"/>
              </w:rPr>
              <w:t>¿Ha bajado el NO2 dentro de la ZBE más que en el entorno metropolitano exterior?</w:t>
            </w:r>
          </w:p>
        </w:tc>
      </w:tr>
      <w:tr w:rsidR="0077504D" w14:paraId="3B43E3B8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E6C90A" w14:textId="77777777" w:rsidR="0077504D" w:rsidRDefault="00EC7433">
            <w:r>
              <w:rPr>
                <w:b/>
                <w:color w:val="0E7C7B"/>
                <w:sz w:val="18"/>
              </w:rPr>
              <w:t>P2 (Alta)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BB58A0" w14:textId="77777777" w:rsidR="0077504D" w:rsidRDefault="00EC7433">
            <w:r>
              <w:rPr>
                <w:sz w:val="18"/>
              </w:rPr>
              <w:t>¿El descenso se concentra en el horario regulado (L-V 7-20h) o es general (noches y festivos)?</w:t>
            </w:r>
          </w:p>
        </w:tc>
      </w:tr>
      <w:tr w:rsidR="0077504D" w14:paraId="3BED7FB4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83CB68" w14:textId="77777777" w:rsidR="0077504D" w:rsidRDefault="00EC7433">
            <w:r>
              <w:rPr>
                <w:b/>
                <w:color w:val="0E7C7B"/>
                <w:sz w:val="18"/>
              </w:rPr>
              <w:t>P3 (Alta)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1F2C25" w14:textId="77777777" w:rsidR="0077504D" w:rsidRDefault="00EC7433">
            <w:r>
              <w:rPr>
                <w:sz w:val="18"/>
              </w:rPr>
              <w:t>Aislando la meteorología y el viento en calma (&lt; 2 m/s), ¿cuánto impacto neto es atribuible a la ZBE?</w:t>
            </w:r>
          </w:p>
        </w:tc>
      </w:tr>
      <w:tr w:rsidR="0077504D" w14:paraId="2D75FE39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48E466" w14:textId="77777777" w:rsidR="0077504D" w:rsidRDefault="00EC7433">
            <w:r>
              <w:rPr>
                <w:b/>
                <w:color w:val="0E7C7B"/>
                <w:sz w:val="18"/>
              </w:rPr>
              <w:t>P4 (Media)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6EE5E4" w14:textId="77777777" w:rsidR="0077504D" w:rsidRDefault="00EC7433">
            <w:r>
              <w:rPr>
                <w:sz w:val="18"/>
              </w:rPr>
              <w:t>¿Responden los contaminantes de tráfico directo (NO2, NOx) mientras el SO2 (placebo) se mantiene neutro?</w:t>
            </w:r>
          </w:p>
        </w:tc>
      </w:tr>
      <w:tr w:rsidR="0077504D" w14:paraId="4AC309E4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A6927F" w14:textId="77777777" w:rsidR="0077504D" w:rsidRDefault="00EC7433">
            <w:r>
              <w:rPr>
                <w:b/>
                <w:color w:val="0E7C7B"/>
                <w:sz w:val="18"/>
              </w:rPr>
              <w:t>P5 (Media)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4ED80B" w14:textId="77777777" w:rsidR="0077504D" w:rsidRDefault="00EC7433">
            <w:r>
              <w:rPr>
                <w:sz w:val="18"/>
              </w:rPr>
              <w:t>¿Aportó la Fase 2 una reducción marginal real o se observa un estancamiento en la curva de mejora?</w:t>
            </w:r>
          </w:p>
        </w:tc>
      </w:tr>
    </w:tbl>
    <w:p w14:paraId="375F5F3F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4E627E56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60D5D18C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4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5D4C3A7" w14:textId="77777777" w:rsidR="0077504D" w:rsidRDefault="00EC7433">
            <w:r>
              <w:rPr>
                <w:b/>
                <w:color w:val="1F2A44"/>
              </w:rPr>
              <w:t>Metodología Cuasiexperimental y Red de Estaciones</w:t>
            </w:r>
          </w:p>
        </w:tc>
      </w:tr>
    </w:tbl>
    <w:p w14:paraId="33958A93" w14:textId="77777777" w:rsidR="0077504D" w:rsidRDefault="0077504D">
      <w:pPr>
        <w:spacing w:after="40"/>
      </w:pPr>
    </w:p>
    <w:p w14:paraId="0AF2015F" w14:textId="77777777" w:rsidR="0077504D" w:rsidRDefault="00EC7433">
      <w:r>
        <w:t>Para eludir el sesgo del simple 'antes y después', se aplicó el método de Diferencias en Diferencias (Diff-in-Diff). El grupo de tratamiento lo conforman las dos estaciones interiores (Mazarredo y María Díaz de Haro), comparadas frente a cinco estaciones de control urbano del Gran Bilbao no afectadas por la ZBE (Europa, Barakaldo, Basauri, Erandio y Castrejana) y una estación de fondo regional (Monte Arraiz), aislando factores compartidos de cuenca y flota.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153"/>
        <w:gridCol w:w="1182"/>
        <w:gridCol w:w="799"/>
        <w:gridCol w:w="799"/>
        <w:gridCol w:w="1304"/>
        <w:gridCol w:w="1584"/>
        <w:gridCol w:w="2699"/>
      </w:tblGrid>
      <w:tr w:rsidR="0077504D" w14:paraId="26773FD8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12B566F" w14:textId="77777777" w:rsidR="0077504D" w:rsidRDefault="00EC7433">
            <w:r>
              <w:rPr>
                <w:b/>
                <w:color w:val="FFFFFF"/>
                <w:sz w:val="16"/>
              </w:rPr>
              <w:t>Estación / Agrupación</w:t>
            </w:r>
          </w:p>
        </w:tc>
        <w:tc>
          <w:tcPr>
            <w:tcW w:w="13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69F8749" w14:textId="77777777" w:rsidR="0077504D" w:rsidRDefault="00EC7433">
            <w:r>
              <w:rPr>
                <w:b/>
                <w:color w:val="FFFFFF"/>
                <w:sz w:val="16"/>
              </w:rPr>
              <w:t>Rol</w:t>
            </w:r>
          </w:p>
        </w:tc>
        <w:tc>
          <w:tcPr>
            <w:tcW w:w="10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115E6BE" w14:textId="77777777" w:rsidR="0077504D" w:rsidRDefault="00EC7433">
            <w:r>
              <w:rPr>
                <w:b/>
                <w:color w:val="FFFFFF"/>
                <w:sz w:val="16"/>
              </w:rPr>
              <w:t>Pre-ZBE</w:t>
            </w:r>
          </w:p>
        </w:tc>
        <w:tc>
          <w:tcPr>
            <w:tcW w:w="10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041E9B5" w14:textId="77777777" w:rsidR="0077504D" w:rsidRDefault="00EC7433">
            <w:r>
              <w:rPr>
                <w:b/>
                <w:color w:val="FFFFFF"/>
                <w:sz w:val="16"/>
              </w:rPr>
              <w:t>Post-ZBE</w:t>
            </w:r>
          </w:p>
        </w:tc>
        <w:tc>
          <w:tcPr>
            <w:tcW w:w="17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AF80B3" w14:textId="77777777" w:rsidR="0077504D" w:rsidRDefault="00EC7433">
            <w:r>
              <w:rPr>
                <w:b/>
                <w:color w:val="FFFFFF"/>
                <w:sz w:val="16"/>
              </w:rPr>
              <w:t>Caída Bruta</w:t>
            </w:r>
          </w:p>
        </w:tc>
        <w:tc>
          <w:tcPr>
            <w:tcW w:w="20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6E9127E" w14:textId="77777777" w:rsidR="0077504D" w:rsidRDefault="00EC7433">
            <w:r>
              <w:rPr>
                <w:b/>
                <w:color w:val="FFFFFF"/>
                <w:sz w:val="16"/>
              </w:rPr>
              <w:t>Efecto Neto / Papel</w:t>
            </w:r>
          </w:p>
        </w:tc>
      </w:tr>
      <w:tr w:rsidR="0077504D" w14:paraId="3349A37C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D913AA" w14:textId="77777777" w:rsidR="0077504D" w:rsidRDefault="00EC7433">
            <w:r>
              <w:rPr>
                <w:b/>
                <w:color w:val="0E7C7B"/>
                <w:sz w:val="16"/>
              </w:rPr>
              <w:t>Dentro ZBE (Mazarredo + Díaz Haro)</w:t>
            </w:r>
          </w:p>
        </w:tc>
        <w:tc>
          <w:tcPr>
            <w:tcW w:w="13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4448F" w14:textId="77777777" w:rsidR="0077504D" w:rsidRDefault="00EC7433">
            <w:r>
              <w:rPr>
                <w:b/>
                <w:color w:val="0E7C7B"/>
                <w:sz w:val="16"/>
              </w:rPr>
              <w:t>Tratamiento ZBE</w:t>
            </w:r>
          </w:p>
        </w:tc>
        <w:tc>
          <w:tcPr>
            <w:tcW w:w="10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57200F" w14:textId="77777777" w:rsidR="0077504D" w:rsidRDefault="00EC7433">
            <w:r>
              <w:rPr>
                <w:b/>
                <w:color w:val="0E7C7B"/>
                <w:sz w:val="16"/>
              </w:rPr>
              <w:t>25,50</w:t>
            </w:r>
          </w:p>
        </w:tc>
        <w:tc>
          <w:tcPr>
            <w:tcW w:w="10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758789" w14:textId="77777777" w:rsidR="0077504D" w:rsidRDefault="00EC7433">
            <w:r>
              <w:rPr>
                <w:b/>
                <w:color w:val="0E7C7B"/>
                <w:sz w:val="16"/>
              </w:rPr>
              <w:t>21,90</w:t>
            </w:r>
          </w:p>
        </w:tc>
        <w:tc>
          <w:tcPr>
            <w:tcW w:w="17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DD736D" w14:textId="77777777" w:rsidR="0077504D" w:rsidRDefault="00EC7433">
            <w:r>
              <w:rPr>
                <w:b/>
                <w:color w:val="0E7C7B"/>
                <w:sz w:val="16"/>
              </w:rPr>
              <w:t>-3,59 (-14,08%)</w:t>
            </w:r>
          </w:p>
        </w:tc>
        <w:tc>
          <w:tcPr>
            <w:tcW w:w="20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A20294" w14:textId="77777777" w:rsidR="0077504D" w:rsidRDefault="00EC7433">
            <w:r>
              <w:rPr>
                <w:b/>
                <w:color w:val="0E7C7B"/>
                <w:sz w:val="16"/>
              </w:rPr>
              <w:t>-1,63 µg/m³ (-6,4%)</w:t>
            </w:r>
          </w:p>
        </w:tc>
      </w:tr>
      <w:tr w:rsidR="0077504D" w14:paraId="139E5909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19CF9" w14:textId="77777777" w:rsidR="0077504D" w:rsidRDefault="00EC7433">
            <w:r>
              <w:rPr>
                <w:sz w:val="16"/>
              </w:rPr>
              <w:t>Mazarredo (Interior tráfico)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BFB686" w14:textId="77777777" w:rsidR="0077504D" w:rsidRDefault="00EC7433">
            <w:r>
              <w:rPr>
                <w:sz w:val="16"/>
              </w:rPr>
              <w:t>Tratamiento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CA2A1E" w14:textId="77777777" w:rsidR="0077504D" w:rsidRDefault="00EC7433">
            <w:r>
              <w:rPr>
                <w:sz w:val="16"/>
              </w:rPr>
              <w:t>26,71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BE88E7" w14:textId="77777777" w:rsidR="0077504D" w:rsidRDefault="00EC7433">
            <w:r>
              <w:rPr>
                <w:sz w:val="16"/>
              </w:rPr>
              <w:t>22,86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96F51D" w14:textId="77777777" w:rsidR="0077504D" w:rsidRDefault="00EC7433">
            <w:r>
              <w:rPr>
                <w:sz w:val="16"/>
              </w:rPr>
              <w:t>-3,85 (-14,41%)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46224A" w14:textId="77777777" w:rsidR="0077504D" w:rsidRDefault="00EC7433">
            <w:r>
              <w:rPr>
                <w:sz w:val="16"/>
              </w:rPr>
              <w:t>Líder en reducción</w:t>
            </w:r>
          </w:p>
        </w:tc>
      </w:tr>
      <w:tr w:rsidR="0077504D" w14:paraId="4356EA34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CA7454" w14:textId="77777777" w:rsidR="0077504D" w:rsidRDefault="00EC7433">
            <w:r>
              <w:rPr>
                <w:sz w:val="16"/>
              </w:rPr>
              <w:t>Mª Díaz de Haro (Interior urbano)</w:t>
            </w:r>
          </w:p>
        </w:tc>
        <w:tc>
          <w:tcPr>
            <w:tcW w:w="13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DD8DFC" w14:textId="77777777" w:rsidR="0077504D" w:rsidRDefault="00EC7433">
            <w:r>
              <w:rPr>
                <w:sz w:val="16"/>
              </w:rPr>
              <w:t>Tratamiento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CE3B8" w14:textId="77777777" w:rsidR="0077504D" w:rsidRDefault="00EC7433">
            <w:r>
              <w:rPr>
                <w:sz w:val="16"/>
              </w:rPr>
              <w:t>24,28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D90E9E" w14:textId="77777777" w:rsidR="0077504D" w:rsidRDefault="00EC7433">
            <w:r>
              <w:rPr>
                <w:sz w:val="16"/>
              </w:rPr>
              <w:t>20,95</w:t>
            </w:r>
          </w:p>
        </w:tc>
        <w:tc>
          <w:tcPr>
            <w:tcW w:w="17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129825" w14:textId="77777777" w:rsidR="0077504D" w:rsidRDefault="00EC7433">
            <w:r>
              <w:rPr>
                <w:sz w:val="16"/>
              </w:rPr>
              <w:t>-3,33 (-13,72%)</w:t>
            </w:r>
          </w:p>
        </w:tc>
        <w:tc>
          <w:tcPr>
            <w:tcW w:w="2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6387A0" w14:textId="77777777" w:rsidR="0077504D" w:rsidRDefault="00EC7433">
            <w:r>
              <w:rPr>
                <w:sz w:val="16"/>
              </w:rPr>
              <w:t>Consistente</w:t>
            </w:r>
          </w:p>
        </w:tc>
      </w:tr>
      <w:tr w:rsidR="0077504D" w14:paraId="3B31BA60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63A800" w14:textId="77777777" w:rsidR="0077504D" w:rsidRDefault="00EC7433">
            <w:r>
              <w:rPr>
                <w:sz w:val="16"/>
              </w:rPr>
              <w:t>Control Exterior (5 est. Gran Bilbao)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10369" w14:textId="77777777" w:rsidR="0077504D" w:rsidRDefault="00EC7433">
            <w:r>
              <w:rPr>
                <w:sz w:val="16"/>
              </w:rPr>
              <w:t>Control urbano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5C8CEA" w14:textId="77777777" w:rsidR="0077504D" w:rsidRDefault="00EC7433">
            <w:r>
              <w:rPr>
                <w:sz w:val="16"/>
              </w:rPr>
              <w:t>18,25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96C891" w14:textId="77777777" w:rsidR="0077504D" w:rsidRDefault="00EC7433">
            <w:r>
              <w:rPr>
                <w:sz w:val="16"/>
              </w:rPr>
              <w:t>16,29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996188" w14:textId="77777777" w:rsidR="0077504D" w:rsidRDefault="00EC7433">
            <w:r>
              <w:rPr>
                <w:sz w:val="16"/>
              </w:rPr>
              <w:t>-1,96 (-10,75%)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F65D1" w14:textId="77777777" w:rsidR="0077504D" w:rsidRDefault="00EC7433">
            <w:r>
              <w:rPr>
                <w:sz w:val="16"/>
              </w:rPr>
              <w:t>Inercia exterior base</w:t>
            </w:r>
          </w:p>
        </w:tc>
      </w:tr>
      <w:tr w:rsidR="0077504D" w14:paraId="59A07876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C7B83B" w14:textId="77777777" w:rsidR="0077504D" w:rsidRDefault="00EC7433">
            <w:r>
              <w:rPr>
                <w:sz w:val="16"/>
              </w:rPr>
              <w:t>Europa (Bilbao exterior)</w:t>
            </w:r>
          </w:p>
        </w:tc>
        <w:tc>
          <w:tcPr>
            <w:tcW w:w="13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3BAF3" w14:textId="77777777" w:rsidR="0077504D" w:rsidRDefault="00EC7433">
            <w:r>
              <w:rPr>
                <w:sz w:val="16"/>
              </w:rPr>
              <w:t>Control urbano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57DE82" w14:textId="77777777" w:rsidR="0077504D" w:rsidRDefault="00EC7433">
            <w:r>
              <w:rPr>
                <w:sz w:val="16"/>
              </w:rPr>
              <w:t>20,10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00028" w14:textId="77777777" w:rsidR="0077504D" w:rsidRDefault="00EC7433">
            <w:r>
              <w:rPr>
                <w:sz w:val="16"/>
              </w:rPr>
              <w:t>17,55</w:t>
            </w:r>
          </w:p>
        </w:tc>
        <w:tc>
          <w:tcPr>
            <w:tcW w:w="17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13040E" w14:textId="77777777" w:rsidR="0077504D" w:rsidRDefault="00EC7433">
            <w:r>
              <w:rPr>
                <w:sz w:val="16"/>
              </w:rPr>
              <w:t>-2,55 (-12,69%)</w:t>
            </w:r>
          </w:p>
        </w:tc>
        <w:tc>
          <w:tcPr>
            <w:tcW w:w="2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8F5AF0" w14:textId="77777777" w:rsidR="0077504D" w:rsidRDefault="00EC7433">
            <w:r>
              <w:rPr>
                <w:sz w:val="16"/>
              </w:rPr>
              <w:t>Referencia directa</w:t>
            </w:r>
          </w:p>
        </w:tc>
      </w:tr>
      <w:tr w:rsidR="0077504D" w14:paraId="63F4AB9A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A2772" w14:textId="77777777" w:rsidR="0077504D" w:rsidRDefault="00EC7433">
            <w:r>
              <w:rPr>
                <w:sz w:val="16"/>
              </w:rPr>
              <w:t>Barakaldo / Erandio / Basauri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0845C9" w14:textId="77777777" w:rsidR="0077504D" w:rsidRDefault="00EC7433">
            <w:r>
              <w:rPr>
                <w:sz w:val="16"/>
              </w:rPr>
              <w:t>Control metrop.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6A1625" w14:textId="77777777" w:rsidR="0077504D" w:rsidRDefault="00EC7433">
            <w:r>
              <w:rPr>
                <w:sz w:val="16"/>
              </w:rPr>
              <w:t>17,63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E07962" w14:textId="77777777" w:rsidR="0077504D" w:rsidRDefault="00EC7433">
            <w:r>
              <w:rPr>
                <w:sz w:val="16"/>
              </w:rPr>
              <w:t>15,87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9D8CD4" w14:textId="77777777" w:rsidR="0077504D" w:rsidRDefault="00EC7433">
            <w:r>
              <w:rPr>
                <w:sz w:val="16"/>
              </w:rPr>
              <w:t>-1,76 (-9,98%)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306DE5" w14:textId="77777777" w:rsidR="0077504D" w:rsidRDefault="00EC7433">
            <w:r>
              <w:rPr>
                <w:sz w:val="16"/>
              </w:rPr>
              <w:t>Tendencia comarcal</w:t>
            </w:r>
          </w:p>
        </w:tc>
      </w:tr>
      <w:tr w:rsidR="0077504D" w14:paraId="09FD8191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6822BD" w14:textId="77777777" w:rsidR="0077504D" w:rsidRDefault="00EC7433">
            <w:r>
              <w:rPr>
                <w:sz w:val="16"/>
              </w:rPr>
              <w:t>Castrejana (Corredor Cadagua)</w:t>
            </w:r>
          </w:p>
        </w:tc>
        <w:tc>
          <w:tcPr>
            <w:tcW w:w="13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986CE" w14:textId="77777777" w:rsidR="0077504D" w:rsidRDefault="00EC7433">
            <w:r>
              <w:rPr>
                <w:sz w:val="16"/>
              </w:rPr>
              <w:t>Control periurb.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852DA8" w14:textId="77777777" w:rsidR="0077504D" w:rsidRDefault="00EC7433">
            <w:r>
              <w:rPr>
                <w:sz w:val="16"/>
              </w:rPr>
              <w:t>16,40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354EF1" w14:textId="77777777" w:rsidR="0077504D" w:rsidRDefault="00EC7433">
            <w:r>
              <w:rPr>
                <w:sz w:val="16"/>
              </w:rPr>
              <w:t>14,92</w:t>
            </w:r>
          </w:p>
        </w:tc>
        <w:tc>
          <w:tcPr>
            <w:tcW w:w="17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2233EA" w14:textId="77777777" w:rsidR="0077504D" w:rsidRDefault="00EC7433">
            <w:r>
              <w:rPr>
                <w:sz w:val="16"/>
              </w:rPr>
              <w:t>-1,48 (-9,02%)</w:t>
            </w:r>
          </w:p>
        </w:tc>
        <w:tc>
          <w:tcPr>
            <w:tcW w:w="2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2E72F8" w14:textId="77777777" w:rsidR="0077504D" w:rsidRDefault="00EC7433">
            <w:r>
              <w:rPr>
                <w:sz w:val="16"/>
              </w:rPr>
              <w:t>Fondo suburbano</w:t>
            </w:r>
          </w:p>
        </w:tc>
      </w:tr>
      <w:tr w:rsidR="0077504D" w14:paraId="7131ECDD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60599C" w14:textId="77777777" w:rsidR="0077504D" w:rsidRDefault="00EC7433">
            <w:r>
              <w:rPr>
                <w:sz w:val="16"/>
              </w:rPr>
              <w:t>Monte Arraiz (Fondo regional)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5AAFE1" w14:textId="77777777" w:rsidR="0077504D" w:rsidRDefault="00EC7433">
            <w:r>
              <w:rPr>
                <w:sz w:val="16"/>
              </w:rPr>
              <w:t>Fondo natural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1A2E65" w14:textId="77777777" w:rsidR="0077504D" w:rsidRDefault="00EC7433">
            <w:r>
              <w:rPr>
                <w:sz w:val="16"/>
              </w:rPr>
              <w:t>8,73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72A27F" w14:textId="77777777" w:rsidR="0077504D" w:rsidRDefault="00EC7433">
            <w:r>
              <w:rPr>
                <w:sz w:val="16"/>
              </w:rPr>
              <w:t>8,16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D0B8C1" w14:textId="77777777" w:rsidR="0077504D" w:rsidRDefault="00EC7433">
            <w:r>
              <w:rPr>
                <w:sz w:val="16"/>
              </w:rPr>
              <w:t>-0,57 (-6,53%)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4C9D0E" w14:textId="77777777" w:rsidR="0077504D" w:rsidRDefault="00EC7433">
            <w:r>
              <w:rPr>
                <w:sz w:val="16"/>
              </w:rPr>
              <w:t>Línea base atmosférica</w:t>
            </w:r>
          </w:p>
        </w:tc>
      </w:tr>
      <w:tr w:rsidR="0077504D" w14:paraId="42673658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</w:tblPrEx>
        <w:trPr>
          <w:jc w:val="center"/>
        </w:trPr>
        <w:tc>
          <w:tcPr>
            <w:tcW w:w="560" w:type="dxa"/>
            <w:gridSpan w:val="3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2358BEC4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100" w:type="dxa"/>
            <w:gridSpan w:val="4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E9B2F03" w14:textId="77777777" w:rsidR="0077504D" w:rsidRDefault="00EC7433">
            <w:r>
              <w:rPr>
                <w:b/>
                <w:color w:val="1F2A44"/>
              </w:rPr>
              <w:t>Desglose por Franja Horaria y Test de Control Placebo</w:t>
            </w:r>
          </w:p>
        </w:tc>
      </w:tr>
    </w:tbl>
    <w:p w14:paraId="0C9CA6E9" w14:textId="77777777" w:rsidR="0077504D" w:rsidRDefault="0077504D">
      <w:pPr>
        <w:spacing w:after="40"/>
      </w:pPr>
    </w:p>
    <w:p w14:paraId="70BC036C" w14:textId="77777777" w:rsidR="0077504D" w:rsidRDefault="00EC7433">
      <w:r>
        <w:t>1. Ventana Horaria Regulada: Dentro de la ZBE, el NO2 cayó -2,93 µg/m³ durante el horario activo (L-V 7:00 a 20:00 h), frente a solo -0,86 µg/m³ en horario nocturno y fines de semana. La reducción es 3,4 veces más acusada en la franja sujeta a inspección por cámaras, corroborando la causalidad operativa de la norma.</w:t>
      </w:r>
    </w:p>
    <w:p w14:paraId="77DC2AB6" w14:textId="77777777" w:rsidR="0077504D" w:rsidRDefault="00EC7433">
      <w:r>
        <w:t>2. Control Placebo de SO2: El dióxido de azufre (origen industrial y portuario, ajeno al tubo de escape de turismos) registró un Diff-in-Diff neto de +0,33 µg/m³ (estadísticamente indistinguible de cero, p &gt; 0,40), lo que valida que el descenso de óxidos de nitrógeno es atribuible al tráfico rodado y no a perturbaciones meteorológicas globales.</w:t>
      </w:r>
    </w:p>
    <w:p w14:paraId="545F7849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7E9C53B2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6D965F36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6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CCF7A87" w14:textId="77777777" w:rsidR="0077504D" w:rsidRDefault="00EC7433">
            <w:r>
              <w:rPr>
                <w:b/>
                <w:color w:val="1F2A44"/>
              </w:rPr>
              <w:t>Evidencia Visual: Diferencias en Diferencias y Tráfico</w:t>
            </w:r>
          </w:p>
        </w:tc>
      </w:tr>
    </w:tbl>
    <w:p w14:paraId="4E43DEE1" w14:textId="77777777" w:rsidR="0077504D" w:rsidRDefault="0077504D">
      <w:pPr>
        <w:spacing w:after="40"/>
      </w:pPr>
    </w:p>
    <w:p w14:paraId="1CCA4A76" w14:textId="77777777" w:rsidR="0077504D" w:rsidRDefault="00EC7433">
      <w:r>
        <w:t>Presentación: Se comparan las trayectorias medias de NO2 en periodos Pre y Post ZBE, proyectando la pendiente contrafactual de lo que habría ocurrido en el centro urbano si hubiese seguido la tendencia de las 5 estaciones del Gran Bilbao.</w:t>
      </w:r>
    </w:p>
    <w:p w14:paraId="179759DA" w14:textId="77777777" w:rsidR="0077504D" w:rsidRDefault="00EC7433">
      <w:pPr>
        <w:spacing w:before="40" w:after="40"/>
        <w:jc w:val="center"/>
      </w:pPr>
      <w:r>
        <w:rPr>
          <w:noProof/>
        </w:rPr>
        <w:drawing>
          <wp:inline distT="0" distB="0" distL="0" distR="0" wp14:anchorId="19152F2E" wp14:editId="5CBFC436">
            <wp:extent cx="4114800" cy="228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2_diff_in_diff_vis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B087" w14:textId="77777777" w:rsidR="0077504D" w:rsidRDefault="00EC7433">
      <w:r>
        <w:t>Interpretación causal: La concentración interior cayó -3,59 µg/m³ brutos (25,50 a 21,90). No obstante, el control exterior descendió en paralelo -1,96 µg/m³ (18,25 a 16,29). La brecha entre la curva observada y el contrafactual paralelo (-1,63 µg/m³, -6,4%, p &lt; 0,001) define el verdadero efecto neto atribuible a la ZBE, desmontando titulares inflados de caída bruta.</w:t>
      </w:r>
    </w:p>
    <w:p w14:paraId="5FA6E496" w14:textId="77777777" w:rsidR="0077504D" w:rsidRDefault="00EC7433">
      <w:r>
        <w:t>Presentación: Evolución temporal del aforo de tráfico en el acceso de San Mamés (entrada sur a la ZBE) y Juan de Garai, según datos oficiales de la Diputación Foral de Bizkaia (2018–2025).</w:t>
      </w:r>
    </w:p>
    <w:p w14:paraId="209C3B84" w14:textId="77777777" w:rsidR="0077504D" w:rsidRDefault="00EC7433">
      <w:pPr>
        <w:spacing w:before="40" w:after="40"/>
        <w:jc w:val="center"/>
      </w:pPr>
      <w:r>
        <w:rPr>
          <w:noProof/>
        </w:rPr>
        <w:drawing>
          <wp:inline distT="0" distB="0" distL="0" distR="0" wp14:anchorId="43D736EA" wp14:editId="32628D0B">
            <wp:extent cx="41148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decision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F572" w14:textId="77777777" w:rsidR="0077504D" w:rsidRDefault="00EC7433">
      <w:r>
        <w:t>Interpretación causal: En 2024 se registró una disuasión inicial acusada (-10,12%, pasando de 50.127 a 45.052 veh/día). Sin embargo, en 2025 se produjo un rebote a 48.543 veh/día (+7,75% interanual), moderando la caída consolidada a un -3,16% (~ -3,2% vs 2023). Esto demuestra adaptación de la flota de usuarios y explica la meseta en la ganancia ambiental de la Fase 2.</w:t>
      </w:r>
    </w:p>
    <w:p w14:paraId="410BDC9F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20949FD2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7F1BA12A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7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202CD8E" w14:textId="77777777" w:rsidR="0077504D" w:rsidRDefault="00EC7433">
            <w:r>
              <w:rPr>
                <w:b/>
                <w:color w:val="1F2A44"/>
              </w:rPr>
              <w:t>Conclusiones Estratégicas y Limitaciones Metodológicas</w:t>
            </w:r>
          </w:p>
        </w:tc>
      </w:tr>
    </w:tbl>
    <w:p w14:paraId="00C40FF6" w14:textId="77777777" w:rsidR="0077504D" w:rsidRDefault="0077504D">
      <w:pPr>
        <w:spacing w:after="40"/>
      </w:pPr>
    </w:p>
    <w:p w14:paraId="7CA50D95" w14:textId="77777777" w:rsidR="0077504D" w:rsidRDefault="00EC7433">
      <w:r>
        <w:t>Veredicto: Impacto confirmado pero moderado. La ordenanza ha evitado aproximadamente 1,63 µg/m³ de concentración de NO2 en el centro, con especial eficacia en días de calma atmosférica (&lt; 2 m/s, donde el NO2 interior cayó un -9,4% en Fase 1 y un -16,2% en Fase 2 vs previo). Sin embargo, el análisis debe comunicarse bajo cinco limitaciones metodológicas ineludibles:</w:t>
      </w:r>
    </w:p>
    <w:p w14:paraId="6306F654" w14:textId="77777777" w:rsidR="0077504D" w:rsidRDefault="00EC7433">
      <w:pPr>
        <w:spacing w:after="20"/>
      </w:pPr>
      <w:r>
        <w:rPr>
          <w:sz w:val="17"/>
        </w:rPr>
        <w:t>1. Muestreo espacial reducido: Solo 2 estaciones interiores oficiales (Mazarredo y Díaz Haro) para modelar 2 km².</w:t>
      </w:r>
    </w:p>
    <w:p w14:paraId="1D24DACC" w14:textId="77777777" w:rsidR="0077504D" w:rsidRDefault="00EC7433">
      <w:pPr>
        <w:spacing w:after="20"/>
      </w:pPr>
      <w:r>
        <w:rPr>
          <w:sz w:val="17"/>
        </w:rPr>
        <w:t>2. Magnitud moderada: El efecto (-1,63 µg/m³) es relevante pero menor que la variabilidad natural interanual del clima.</w:t>
      </w:r>
    </w:p>
    <w:p w14:paraId="29EA7544" w14:textId="77777777" w:rsidR="0077504D" w:rsidRDefault="00EC7433">
      <w:pPr>
        <w:spacing w:after="20"/>
      </w:pPr>
      <w:r>
        <w:rPr>
          <w:sz w:val="17"/>
        </w:rPr>
        <w:t>3. Base previa post-pandemia: Los años 2022 y 2023 reflejaban pautas de recuperación de movilidad condicionadas.</w:t>
      </w:r>
    </w:p>
    <w:p w14:paraId="22A16B2D" w14:textId="77777777" w:rsidR="0077504D" w:rsidRDefault="00EC7433">
      <w:pPr>
        <w:spacing w:after="20"/>
      </w:pPr>
      <w:r>
        <w:rPr>
          <w:sz w:val="17"/>
        </w:rPr>
        <w:t>4. Factores concurrentes: Bonificaciones al transporte público y carriles bici coexistieron con el despliegue de la ZBE.</w:t>
      </w:r>
    </w:p>
    <w:p w14:paraId="25995D0A" w14:textId="77777777" w:rsidR="0077504D" w:rsidRDefault="00EC7433">
      <w:pPr>
        <w:spacing w:after="20"/>
      </w:pPr>
      <w:r>
        <w:rPr>
          <w:sz w:val="17"/>
        </w:rPr>
        <w:t>5. Inmisión vs Emisión: Los sensores capturan concentración en aire respirable (µg/m³), no emisiones directas en tubo.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74D0B8C5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07930B3F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8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2F2335B9" w14:textId="77777777" w:rsidR="0077504D" w:rsidRDefault="00EC7433">
            <w:r>
              <w:rPr>
                <w:b/>
                <w:color w:val="1F2A44"/>
              </w:rPr>
              <w:t>Recomendaciones de Política Pública para el Ayuntamiento</w:t>
            </w:r>
          </w:p>
        </w:tc>
      </w:tr>
    </w:tbl>
    <w:p w14:paraId="064D511C" w14:textId="77777777" w:rsidR="0077504D" w:rsidRDefault="0077504D">
      <w:pPr>
        <w:spacing w:after="40"/>
      </w:pPr>
    </w:p>
    <w:p w14:paraId="5F2D563E" w14:textId="77777777" w:rsidR="0077504D" w:rsidRDefault="00EC7433">
      <w:r>
        <w:t>• Mantener la regulación actual y priorizar el reparto urbano: Ante los rendimientos decrecientes observados sobre turismos en Fase 2, evitar un endurecimiento sancionador que generaría rechazo ciudadano y concentrar incentivos en furgonetas de última milla.</w:t>
      </w:r>
      <w:r>
        <w:br/>
      </w:r>
      <w:r>
        <w:t>• Monitorización perimetral: Instalar sensores indicativos en las arterias de escape (Autonomía, Sagrado Corazón, Deusto) para vigilar posibles efectos derrame o transferencia de tráfico hacia barrios periféricos colindantes.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1FC29294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695275C4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9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B7CD9F7" w14:textId="77777777" w:rsidR="0077504D" w:rsidRDefault="00EC7433">
            <w:r>
              <w:rPr>
                <w:b/>
                <w:color w:val="1F2A44"/>
              </w:rPr>
              <w:t>Herramientas Tecnológicas y Reparto de Responsabilidades</w:t>
            </w:r>
          </w:p>
        </w:tc>
      </w:tr>
    </w:tbl>
    <w:p w14:paraId="067DF3F0" w14:textId="77777777" w:rsidR="0077504D" w:rsidRDefault="0077504D">
      <w:pPr>
        <w:spacing w:after="40"/>
      </w:pPr>
    </w:p>
    <w:p w14:paraId="2903EC32" w14:textId="77777777" w:rsidR="0077504D" w:rsidRDefault="00EC7433">
      <w:r>
        <w:t>El proyecto se articuló sobre un stack reproducible: Ingesta ETL en Python/Pandas, almacenamiento en InfluxDB 2.9 (4 tokens de mínimo privilegio), dashboards y alertas en Grafana 11.2, contenedor MCP solo lectura y análisis econométrico con Statsmodels.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200"/>
        <w:gridCol w:w="2200"/>
        <w:gridCol w:w="5500"/>
      </w:tblGrid>
      <w:tr w:rsidR="0077504D" w14:paraId="492A968D" w14:textId="77777777">
        <w:trPr>
          <w:jc w:val="center"/>
        </w:trPr>
        <w:tc>
          <w:tcPr>
            <w:tcW w:w="2200" w:type="dxa"/>
            <w:shd w:val="clear" w:color="auto" w:fill="1F2A44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168901E0" w14:textId="77777777" w:rsidR="0077504D" w:rsidRDefault="00EC7433">
            <w:r>
              <w:rPr>
                <w:b/>
                <w:color w:val="FFFFFF"/>
                <w:sz w:val="16"/>
              </w:rPr>
              <w:t>Integrante</w:t>
            </w:r>
          </w:p>
        </w:tc>
        <w:tc>
          <w:tcPr>
            <w:tcW w:w="2200" w:type="dxa"/>
            <w:shd w:val="clear" w:color="auto" w:fill="1F2A44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21199B56" w14:textId="77777777" w:rsidR="0077504D" w:rsidRDefault="00EC7433">
            <w:r>
              <w:rPr>
                <w:b/>
                <w:color w:val="FFFFFF"/>
                <w:sz w:val="16"/>
              </w:rPr>
              <w:t>Rol Ágil (Scrum)</w:t>
            </w:r>
          </w:p>
        </w:tc>
        <w:tc>
          <w:tcPr>
            <w:tcW w:w="5500" w:type="dxa"/>
            <w:shd w:val="clear" w:color="auto" w:fill="1F2A44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6E68E51E" w14:textId="77777777" w:rsidR="0077504D" w:rsidRDefault="00EC7433">
            <w:r>
              <w:rPr>
                <w:b/>
                <w:color w:val="FFFFFF"/>
                <w:sz w:val="16"/>
              </w:rPr>
              <w:t>Responsabilidad Principal y Entregables Clave</w:t>
            </w:r>
          </w:p>
        </w:tc>
      </w:tr>
      <w:tr w:rsidR="0077504D" w14:paraId="3BA26082" w14:textId="77777777">
        <w:trPr>
          <w:jc w:val="center"/>
        </w:trPr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Alfred Gabriel</w:t>
            </w:r>
          </w:p>
        </w:tc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Product Owner / SBD</w:t>
            </w:r>
          </w:p>
        </w:tc>
        <w:tc>
          <w:tcPr>
            <w:tcW w:w="55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Pipeline reproducible de datos (332.776 registros), econometría Diff-in-Diff e informe ejecutivo para el cliente.</w:t>
            </w:r>
          </w:p>
        </w:tc>
      </w:tr>
      <w:tr w:rsidR="0077504D" w14:paraId="6E134C0B" w14:textId="77777777">
        <w:trPr>
          <w:jc w:val="center"/>
        </w:trPr>
        <w:tc>
          <w:tcPr>
            <w:tcW w:w="2200" w:type="dxa"/>
            <w:shd w:val="clear" w:color="auto" w:fill="F2F5F7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Kerman Latorre</w:t>
            </w:r>
          </w:p>
        </w:tc>
        <w:tc>
          <w:tcPr>
            <w:tcW w:w="2200" w:type="dxa"/>
            <w:shd w:val="clear" w:color="auto" w:fill="F2F5F7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Scrum Master / MIA &amp; PIA</w:t>
            </w:r>
          </w:p>
        </w:tc>
        <w:tc>
          <w:tcPr>
            <w:tcW w:w="5500" w:type="dxa"/>
            <w:shd w:val="clear" w:color="auto" w:fill="F2F5F7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Servidor MCP (:5001) para consultas de IA, integración de herramientas IA, metodología ágil Scrum y memoria técnica MIA.</w:t>
            </w:r>
          </w:p>
        </w:tc>
      </w:tr>
      <w:tr w:rsidR="0077504D" w14:paraId="4C26E93E" w14:textId="77777777">
        <w:trPr>
          <w:jc w:val="center"/>
        </w:trPr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Iñigo Guzmán</w:t>
            </w:r>
          </w:p>
        </w:tc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Lead Data Eng. / BDA</w:t>
            </w:r>
          </w:p>
        </w:tc>
        <w:tc>
          <w:tcPr>
            <w:tcW w:w="55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>
            <w:r>
              <w:t>Infraestructura Docker Compose, InfluxDB (4 buckets y tokens), streaming Node-RED 5.0 y Grafana RBAC.</w:t>
            </w:r>
          </w:p>
        </w:tc>
      </w:tr>
    </w:tbl>
    <w:p w14:paraId="0BCED6DA" w14:textId="77777777" w:rsidR="00EC7433" w:rsidRDefault="00EC7433"/>
    <w:sectPr w:rsidR="00EC7433" w:rsidSect="00034616">
      <w:headerReference w:type="default" r:id="rId10"/>
      <w:footerReference w:type="default" r:id="rId11"/>
      <w:pgSz w:w="12240" w:h="15840"/>
      <w:pgMar w:top="900" w:right="900" w:bottom="900" w:left="9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A5938" w14:textId="77777777" w:rsidR="00EC7433" w:rsidRDefault="00EC7433">
      <w:pPr>
        <w:spacing w:after="0" w:line="240" w:lineRule="auto"/>
      </w:pPr>
      <w:r>
        <w:separator/>
      </w:r>
    </w:p>
  </w:endnote>
  <w:endnote w:type="continuationSeparator" w:id="0">
    <w:p w14:paraId="4EC4D0AE" w14:textId="77777777" w:rsidR="00EC7433" w:rsidRDefault="00EC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5174E" w14:textId="77777777" w:rsidR="0077504D" w:rsidRDefault="00EC7433">
    <w:pPr>
      <w:jc w:val="center"/>
    </w:pP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PAGE</w:instrText>
    </w:r>
    <w:r>
      <w:rPr>
        <w:color w:val="44546A"/>
        <w:sz w:val="16"/>
        <w:szCs w:val="16"/>
      </w:rPr>
      <w:fldChar w:fldCharType="separate"/>
    </w:r>
    <w:r w:rsidR="00453C08">
      <w:rPr>
        <w:noProof/>
        <w:color w:val="44546A"/>
        <w:sz w:val="16"/>
        <w:szCs w:val="16"/>
      </w:rPr>
      <w:t>2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NUMPAGES</w:instrText>
    </w:r>
    <w:r>
      <w:rPr>
        <w:color w:val="44546A"/>
        <w:sz w:val="16"/>
        <w:szCs w:val="16"/>
      </w:rPr>
      <w:fldChar w:fldCharType="separate"/>
    </w:r>
    <w:r w:rsidR="00453C08">
      <w:rPr>
        <w:noProof/>
        <w:color w:val="44546A"/>
        <w:sz w:val="16"/>
        <w:szCs w:val="16"/>
      </w:rPr>
      <w:t>3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62570" w14:textId="77777777" w:rsidR="00EC7433" w:rsidRDefault="00EC7433">
      <w:pPr>
        <w:spacing w:after="0" w:line="240" w:lineRule="auto"/>
      </w:pPr>
      <w:r>
        <w:separator/>
      </w:r>
    </w:p>
  </w:footnote>
  <w:footnote w:type="continuationSeparator" w:id="0">
    <w:p w14:paraId="693219FE" w14:textId="77777777" w:rsidR="00EC7433" w:rsidRDefault="00EC7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D222A" w14:textId="77777777" w:rsidR="0077504D" w:rsidRDefault="00EC7433">
    <w:pPr>
      <w:pStyle w:val="Encabezado"/>
      <w:pBdr>
        <w:bottom w:val="single" w:sz="6" w:space="4" w:color="0E7C7B"/>
      </w:pBdr>
      <w:tabs>
        <w:tab w:val="right" w:pos="9800"/>
      </w:tabs>
    </w:pPr>
    <w:r>
      <w:rPr>
        <w:color w:val="44546A"/>
        <w:sz w:val="15"/>
      </w:rPr>
      <w:t>Curso de Especialización en Inteligencia Artificial y Big Data</w:t>
    </w:r>
    <w:r>
      <w:rPr>
        <w:color w:val="44546A"/>
        <w:sz w:val="15"/>
      </w:rPr>
      <w:tab/>
      <w:t>Haizen Lab · SBD · Reto 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7905146">
    <w:abstractNumId w:val="8"/>
  </w:num>
  <w:num w:numId="2" w16cid:durableId="1975331235">
    <w:abstractNumId w:val="6"/>
  </w:num>
  <w:num w:numId="3" w16cid:durableId="712314825">
    <w:abstractNumId w:val="5"/>
  </w:num>
  <w:num w:numId="4" w16cid:durableId="24719955">
    <w:abstractNumId w:val="4"/>
  </w:num>
  <w:num w:numId="5" w16cid:durableId="1327896914">
    <w:abstractNumId w:val="7"/>
  </w:num>
  <w:num w:numId="6" w16cid:durableId="614168794">
    <w:abstractNumId w:val="3"/>
  </w:num>
  <w:num w:numId="7" w16cid:durableId="652416623">
    <w:abstractNumId w:val="2"/>
  </w:num>
  <w:num w:numId="8" w16cid:durableId="1902446287">
    <w:abstractNumId w:val="1"/>
  </w:num>
  <w:num w:numId="9" w16cid:durableId="672223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A46"/>
    <w:rsid w:val="00134085"/>
    <w:rsid w:val="0015074B"/>
    <w:rsid w:val="0029639D"/>
    <w:rsid w:val="00326F90"/>
    <w:rsid w:val="00453C08"/>
    <w:rsid w:val="0077504D"/>
    <w:rsid w:val="00AA1D8D"/>
    <w:rsid w:val="00B47730"/>
    <w:rsid w:val="00CB0664"/>
    <w:rsid w:val="00EC74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3FEC8A"/>
  <w14:defaultImageDpi w14:val="300"/>
  <w15:docId w15:val="{E7394F8D-E208-4D76-ACF1-0223167D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color w:val="2B2F3A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1307</Words>
  <Characters>7191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Kerman Latorre</cp:lastModifiedBy>
  <cp:revision>3</cp:revision>
  <cp:lastPrinted>2026-10-09T09:26:00Z</cp:lastPrinted>
  <dcterms:created xsi:type="dcterms:W3CDTF">2013-12-23T23:15:00Z</dcterms:created>
  <dcterms:modified xsi:type="dcterms:W3CDTF">2026-10-09T09:27:00Z</dcterms:modified>
  <cp:category/>
</cp:coreProperties>
</file>