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2510"/>
        <w:gridCol w:w="2510"/>
        <w:gridCol w:w="2510"/>
        <w:gridCol w:w="2510"/>
      </w:tblGrid>
      <w:tr>
        <w:tc>
          <w:tcPr>
            <w:tcW w:type="dxa" w:w="2600"/>
            <w:tcMar>
              <w:top w:w="40" w:type="dxa"/>
              <w:bottom w:w="60" w:type="dxa"/>
              <w:left w:w="40" w:type="dxa"/>
              <w:right w:w="40" w:type="dxa"/>
            </w:tcMar>
          </w:tcPr>
          <w:p>
            <w:pPr>
              <w:spacing w:after="20"/>
            </w:pPr>
            <w:r>
              <w:rPr>
                <w:rFonts w:ascii="Arial" w:hAnsi="Arial"/>
                <w:b/>
                <w:color w:val="0E7C7B"/>
                <w:sz w:val="16"/>
              </w:rPr>
              <w:t>EQUIPO</w:t>
            </w:r>
          </w:p>
          <w:p>
            <w:pPr>
              <w:spacing w:after="0"/>
            </w:pPr>
            <w:r>
              <w:rPr>
                <w:rFonts w:ascii="Arial" w:hAnsi="Arial"/>
                <w:color w:val="2B2F3A"/>
                <w:sz w:val="19"/>
              </w:rPr>
              <w:t>Haizen Lab: Iñigo, Kerman y Alfred</w:t>
            </w:r>
          </w:p>
        </w:tc>
        <w:tc>
          <w:tcPr>
            <w:tcW w:type="dxa" w:w="2900"/>
            <w:tcMar>
              <w:top w:w="40" w:type="dxa"/>
              <w:bottom w:w="60" w:type="dxa"/>
              <w:left w:w="40" w:type="dxa"/>
              <w:right w:w="40" w:type="dxa"/>
            </w:tcMar>
          </w:tcPr>
          <w:p>
            <w:pPr>
              <w:spacing w:after="20"/>
            </w:pPr>
            <w:r>
              <w:rPr>
                <w:rFonts w:ascii="Arial" w:hAnsi="Arial"/>
                <w:b/>
                <w:color w:val="0E7C7B"/>
                <w:sz w:val="16"/>
              </w:rPr>
              <w:t>MÓDULO</w:t>
            </w:r>
          </w:p>
          <w:p>
            <w:pPr>
              <w:spacing w:after="0"/>
            </w:pPr>
            <w:r>
              <w:rPr>
                <w:rFonts w:ascii="Arial" w:hAnsi="Arial"/>
                <w:color w:val="2B2F3A"/>
                <w:sz w:val="19"/>
              </w:rPr>
              <w:t>Sistemas de Big Data (5074) · CF Somorrostro</w:t>
            </w:r>
          </w:p>
        </w:tc>
        <w:tc>
          <w:tcPr>
            <w:tcW w:type="dxa" w:w="3000"/>
            <w:tcMar>
              <w:top w:w="40" w:type="dxa"/>
              <w:bottom w:w="60" w:type="dxa"/>
              <w:left w:w="40" w:type="dxa"/>
              <w:right w:w="40" w:type="dxa"/>
            </w:tcMar>
          </w:tcPr>
          <w:p>
            <w:pPr>
              <w:spacing w:after="20"/>
            </w:pPr>
            <w:r>
              <w:rPr>
                <w:rFonts w:ascii="Arial" w:hAnsi="Arial"/>
                <w:b/>
                <w:color w:val="0E7C7B"/>
                <w:sz w:val="16"/>
              </w:rPr>
              <w:t>CLIENTE (SIMULADO)</w:t>
            </w:r>
          </w:p>
          <w:p>
            <w:pPr>
              <w:spacing w:after="0"/>
            </w:pPr>
            <w:r>
              <w:rPr>
                <w:rFonts w:ascii="Arial" w:hAnsi="Arial"/>
                <w:color w:val="2B2F3A"/>
                <w:sz w:val="19"/>
              </w:rPr>
              <w:t>Ayuntamiento de Bilbao, movilidad y sostenibilidad</w:t>
            </w:r>
          </w:p>
        </w:tc>
        <w:tc>
          <w:tcPr>
            <w:tcW w:type="dxa" w:w="1200"/>
            <w:tcMar>
              <w:top w:w="40" w:type="dxa"/>
              <w:bottom w:w="60" w:type="dxa"/>
              <w:left w:w="40" w:type="dxa"/>
              <w:right w:w="40" w:type="dxa"/>
            </w:tcMar>
          </w:tcPr>
          <w:p>
            <w:pPr>
              <w:spacing w:after="20"/>
            </w:pPr>
            <w:r>
              <w:rPr>
                <w:rFonts w:ascii="Arial" w:hAnsi="Arial"/>
                <w:b/>
                <w:color w:val="0E7C7B"/>
                <w:sz w:val="16"/>
              </w:rPr>
              <w:t>FECHA</w:t>
            </w:r>
          </w:p>
          <w:p>
            <w:pPr>
              <w:spacing w:after="0"/>
            </w:pPr>
            <w:r>
              <w:rPr>
                <w:rFonts w:ascii="Arial" w:hAnsi="Arial"/>
                <w:color w:val="2B2F3A"/>
                <w:sz w:val="19"/>
              </w:rPr>
              <w:t>07/10/2026</w:t>
            </w:r>
          </w:p>
        </w:tc>
      </w:tr>
    </w:tbl>
    <w:p>
      <w:pPr>
        <w:spacing w:after="80"/>
      </w:pPr>
    </w:p>
    <w:p>
      <w:pPr>
        <w:spacing w:after="40"/>
      </w:pPr>
      <w:r>
        <w:rPr>
          <w:rFonts w:ascii="Arial" w:hAnsi="Arial"/>
          <w:b/>
          <w:color w:val="0E7C7B"/>
          <w:sz w:val="20"/>
        </w:rPr>
        <w:t>SISTEMAS DE BIG DATA · RETO 0 «HERE WE GO»</w:t>
      </w:r>
    </w:p>
    <w:p>
      <w:pPr>
        <w:spacing w:after="40"/>
      </w:pPr>
      <w:r>
        <w:rPr>
          <w:rFonts w:ascii="Arial" w:hAnsi="Arial"/>
          <w:b/>
          <w:color w:val="1F2A44"/>
          <w:sz w:val="40"/>
        </w:rPr>
        <w:t>¿Ha funcionado la Zona de Bajas Emisiones de Bilbao?</w:t>
      </w:r>
    </w:p>
    <w:p>
      <w:pPr>
        <w:spacing w:after="160"/>
      </w:pPr>
      <w:r>
        <w:rPr>
          <w:rFonts w:ascii="Arial" w:hAnsi="Arial"/>
          <w:color w:val="44546A"/>
          <w:sz w:val="24"/>
        </w:rPr>
        <w:t>Evaluación multivariable de impacto sobre la calidad del aire y movilidad urbana (2022–2026)</w:t>
      </w:r>
    </w:p>
    <w:p>
      <w:pPr>
        <w:spacing w:after="40"/>
      </w:pPr>
      <w:r>
        <w:rPr>
          <w:rFonts w:ascii="Arial" w:hAnsi="Arial"/>
          <w:b/>
          <w:color w:val="1F2A44"/>
          <w:sz w:val="24"/>
        </w:rPr>
        <w:t>Objetivo del documento</w:t>
      </w:r>
    </w:p>
    <w:p>
      <w:r>
        <w:t>Se presenta el informe de consultoría ejecutiva para el Ayuntamiento de Bilbao elaborado por Haizen Lab en el módulo de Sistemas de Big Data (SBD). El documento evalúa el impacto empírico de la Zona de Bajas Emisiones (ZBE) en el distrito de Abando sobre las concentraciones horarias de NO2, aislando el efecto de la ordenanza respecto a la meteorología y las tendencias del tráfico mediante un diseño cuasiexperimental de Diferencias en Diferencias (Diff-in-Diff) y contraste con aforos vehiculares.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1</w:t>
            </w:r>
          </w:p>
        </w:tc>
        <w:tc>
          <w:tcPr>
            <w:tcW w:type="dxa" w:w="8930"/>
            <w:shd w:fill="F2F5F7"/>
            <w:tcMar>
              <w:top w:w="70" w:type="dxa"/>
              <w:bottom w:w="70" w:type="dxa"/>
              <w:left w:w="120" w:type="dxa"/>
              <w:right w:w="100" w:type="dxa"/>
            </w:tcMar>
          </w:tcPr>
          <w:p>
            <w:r>
              <w:rPr>
                <w:rFonts w:ascii="Arial" w:hAnsi="Arial"/>
                <w:b/>
                <w:color w:val="1F2A44"/>
                <w:sz w:val="26"/>
              </w:rPr>
              <w:t>Problema del cliente y preguntas de negocio</w:t>
            </w:r>
          </w:p>
        </w:tc>
      </w:tr>
    </w:tbl>
    <w:p>
      <w:pPr>
        <w:spacing w:before="0" w:after="80"/>
      </w:pPr>
    </w:p>
    <w:p>
      <w:r>
        <w:t>El Ayuntamiento de Bilbao implantó la ZBE en el distrito de Abando (~2 km², regulado por 27 cámaras ANPR) para reducir los contaminantes derivados del tráfico fósil. El horario de restricción abarca de lunes a viernes laborables de 7:00 a 20:00 h, desplegado en dos etapas progresivas: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4852"/>
            <w:shd w:fill="F2F5F7"/>
            <w:tcMar>
              <w:top w:w="70" w:type="dxa"/>
              <w:bottom w:w="70" w:type="dxa"/>
              <w:left w:w="100" w:type="dxa"/>
              <w:right w:w="100" w:type="dxa"/>
            </w:tcMar>
          </w:tcPr>
          <w:p>
            <w:pPr>
              <w:spacing w:after="40"/>
            </w:pPr>
            <w:r>
              <w:rPr>
                <w:rFonts w:ascii="Arial" w:hAnsi="Arial"/>
                <w:b/>
                <w:color w:val="0E7C7B"/>
                <w:sz w:val="16"/>
              </w:rPr>
              <w:t>FASE 1 · DESDE EL 15/06/2024</w:t>
            </w:r>
          </w:p>
          <w:p>
            <w:pPr>
              <w:spacing w:after="0"/>
            </w:pPr>
            <w:r>
              <w:rPr>
                <w:rFonts w:ascii="Arial" w:hAnsi="Arial"/>
                <w:color w:val="2B2F3A"/>
                <w:sz w:val="19"/>
              </w:rPr>
              <w:t>Vehículos sin etiqueta ambiental (A / sin distintivo DGT).</w:t>
            </w:r>
          </w:p>
        </w:tc>
        <w:tc>
          <w:tcPr>
            <w:tcW w:type="dxa" w:w="4852"/>
            <w:shd w:fill="F2F5F7"/>
            <w:tcMar>
              <w:top w:w="70" w:type="dxa"/>
              <w:bottom w:w="70" w:type="dxa"/>
              <w:left w:w="100" w:type="dxa"/>
              <w:right w:w="100" w:type="dxa"/>
            </w:tcMar>
          </w:tcPr>
          <w:p>
            <w:pPr>
              <w:spacing w:after="40"/>
            </w:pPr>
            <w:r>
              <w:rPr>
                <w:rFonts w:ascii="Arial" w:hAnsi="Arial"/>
                <w:b/>
                <w:color w:val="0E7C7B"/>
                <w:sz w:val="16"/>
              </w:rPr>
              <w:t>FASE 2 · DESDE EL 16/06/2025</w:t>
            </w:r>
          </w:p>
          <w:p>
            <w:pPr>
              <w:spacing w:after="0"/>
            </w:pPr>
            <w:r>
              <w:rPr>
                <w:rFonts w:ascii="Arial" w:hAnsi="Arial"/>
                <w:color w:val="2B2F3A"/>
                <w:sz w:val="19"/>
              </w:rPr>
              <w:t>Restricción a distintivo B para no residentes del centro.</w:t>
            </w:r>
          </w:p>
        </w:tc>
      </w:tr>
    </w:tbl>
    <w:p>
      <w:pPr>
        <w:spacing w:after="40"/>
      </w:pPr>
    </w:p>
    <w:p>
      <w:r>
        <w:t>Una comparación simple de promedios antes y después incurre en sesgos críticos: el NO2 depende de la inversión térmica invernal, la lluvia y el régimen de vientos. Lo que el cliente necesita conocer es la reducción neta atribuible, controlando por la evolución de estaciones comparables fuera del perímetro:</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10040"/>
      </w:tblGrid>
      <w:tr>
        <w:tc>
          <w:tcPr>
            <w:tcW w:type="dxa" w:w="9706"/>
            <w:shd w:fill="1E1E2E"/>
            <w:tcMar>
              <w:top w:w="80" w:type="dxa"/>
              <w:bottom w:w="80" w:type="dxa"/>
              <w:left w:w="120" w:type="dxa"/>
              <w:right w:w="120" w:type="dxa"/>
            </w:tcMar>
          </w:tcPr>
          <w:p>
            <w:pPr>
              <w:jc w:val="center"/>
            </w:pPr>
            <w:r>
              <w:rPr>
                <w:rFonts w:ascii="Consolas" w:hAnsi="Consolas"/>
                <w:color w:val="FFFFFF"/>
                <w:sz w:val="20"/>
              </w:rPr>
              <w:t>efecto neto ZBE = [NO2_post(dentro) − NO2_pre(dentro)] − [NO2_post(fuera) − NO2_pre(fuera)]</w:t>
            </w:r>
          </w:p>
        </w:tc>
      </w:tr>
    </w:tbl>
    <w:p>
      <w:pPr>
        <w:spacing w:after="40"/>
      </w:pPr>
    </w:p>
    <w:p>
      <w:r>
        <w:t>Para sustentar la toma de decisiones, se fijaron cinco preguntas de negocio priorizadas: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347"/>
        <w:gridCol w:w="3347"/>
        <w:gridCol w:w="3347"/>
      </w:tblGrid>
      <w:tr>
        <w:tc>
          <w:tcPr>
            <w:tcW w:type="dxa" w:w="3347"/>
            <w:shd w:fill="0E7C7B"/>
            <w:tcMar>
              <w:top w:w="60" w:type="dxa"/>
              <w:bottom w:w="60" w:type="dxa"/>
              <w:left w:w="80" w:type="dxa"/>
              <w:right w:w="80" w:type="dxa"/>
            </w:tcMar>
          </w:tcPr>
          <w:p>
            <w:r>
              <w:rPr>
                <w:rFonts w:ascii="Arial" w:hAnsi="Arial"/>
                <w:b/>
                <w:color w:val="FFFFFF"/>
                <w:sz w:val="18"/>
              </w:rPr>
              <w:t>Pregunta</w:t>
            </w:r>
          </w:p>
        </w:tc>
        <w:tc>
          <w:tcPr>
            <w:tcW w:type="dxa" w:w="3347"/>
            <w:shd w:fill="0E7C7B"/>
            <w:tcMar>
              <w:top w:w="60" w:type="dxa"/>
              <w:bottom w:w="60" w:type="dxa"/>
              <w:left w:w="80" w:type="dxa"/>
              <w:right w:w="80" w:type="dxa"/>
            </w:tcMar>
          </w:tcPr>
          <w:p>
            <w:r>
              <w:rPr>
                <w:rFonts w:ascii="Arial" w:hAnsi="Arial"/>
                <w:b/>
                <w:color w:val="FFFFFF"/>
                <w:sz w:val="18"/>
              </w:rPr>
              <w:t>Objetivo de negocio</w:t>
            </w:r>
          </w:p>
        </w:tc>
        <w:tc>
          <w:tcPr>
            <w:tcW w:type="dxa" w:w="3347"/>
            <w:shd w:fill="0E7C7B"/>
            <w:tcMar>
              <w:top w:w="60" w:type="dxa"/>
              <w:bottom w:w="60" w:type="dxa"/>
              <w:left w:w="80" w:type="dxa"/>
              <w:right w:w="80" w:type="dxa"/>
            </w:tcMar>
          </w:tcPr>
          <w:p>
            <w:r>
              <w:rPr>
                <w:rFonts w:ascii="Arial" w:hAnsi="Arial"/>
                <w:b/>
                <w:color w:val="FFFFFF"/>
                <w:sz w:val="18"/>
              </w:rPr>
              <w:t>Metodología analítica</w:t>
            </w:r>
          </w:p>
        </w:tc>
      </w:tr>
      <w:tr>
        <w:tc>
          <w:tcPr>
            <w:tcW w:type="dxa" w:w="3347"/>
            <w:shd w:fill="F2F5F7"/>
            <w:tcMar>
              <w:top w:w="50" w:type="dxa"/>
              <w:bottom w:w="50" w:type="dxa"/>
              <w:left w:w="80" w:type="dxa"/>
              <w:right w:w="80" w:type="dxa"/>
            </w:tcMar>
          </w:tcPr>
          <w:p>
            <w:r>
              <w:rPr>
                <w:rFonts w:ascii="Arial" w:hAnsi="Arial"/>
                <w:b/>
                <w:sz w:val="18"/>
              </w:rPr>
              <w:t>P1 (Máxima)</w:t>
            </w:r>
          </w:p>
        </w:tc>
        <w:tc>
          <w:tcPr>
            <w:tcW w:type="dxa" w:w="3347"/>
            <w:shd w:fill="F2F5F7"/>
            <w:tcMar>
              <w:top w:w="50" w:type="dxa"/>
              <w:bottom w:w="50" w:type="dxa"/>
              <w:left w:w="80" w:type="dxa"/>
              <w:right w:w="80" w:type="dxa"/>
            </w:tcMar>
          </w:tcPr>
          <w:p>
            <w:r>
              <w:rPr>
                <w:rFonts w:ascii="Arial" w:hAnsi="Arial"/>
                <w:sz w:val="18"/>
              </w:rPr>
              <w:t>¿Ha bajado el NO2 dentro de la ZBE más que fuera tras el 15/06/2024?</w:t>
            </w:r>
          </w:p>
        </w:tc>
        <w:tc>
          <w:tcPr>
            <w:tcW w:type="dxa" w:w="3347"/>
            <w:shd w:fill="F2F5F7"/>
            <w:tcMar>
              <w:top w:w="50" w:type="dxa"/>
              <w:bottom w:w="50" w:type="dxa"/>
              <w:left w:w="80" w:type="dxa"/>
              <w:right w:w="80" w:type="dxa"/>
            </w:tcMar>
          </w:tcPr>
          <w:p>
            <w:r>
              <w:rPr>
                <w:rFonts w:ascii="Arial" w:hAnsi="Arial"/>
                <w:sz w:val="18"/>
              </w:rPr>
              <w:t>Modelo cuasiexperimental Diff-in-Diff frente a estaciones exteriores.</w:t>
            </w:r>
          </w:p>
        </w:tc>
      </w:tr>
      <w:tr>
        <w:tc>
          <w:tcPr>
            <w:tcW w:type="dxa" w:w="3347"/>
            <w:shd w:fill="FFFFFF"/>
            <w:tcMar>
              <w:top w:w="50" w:type="dxa"/>
              <w:bottom w:w="50" w:type="dxa"/>
              <w:left w:w="80" w:type="dxa"/>
              <w:right w:w="80" w:type="dxa"/>
            </w:tcMar>
          </w:tcPr>
          <w:p>
            <w:r>
              <w:rPr>
                <w:rFonts w:ascii="Arial" w:hAnsi="Arial"/>
                <w:b/>
                <w:sz w:val="18"/>
              </w:rPr>
              <w:t>P2 (Alta)</w:t>
            </w:r>
          </w:p>
        </w:tc>
        <w:tc>
          <w:tcPr>
            <w:tcW w:type="dxa" w:w="3347"/>
            <w:shd w:fill="FFFFFF"/>
            <w:tcMar>
              <w:top w:w="50" w:type="dxa"/>
              <w:bottom w:w="50" w:type="dxa"/>
              <w:left w:w="80" w:type="dxa"/>
              <w:right w:w="80" w:type="dxa"/>
            </w:tcMar>
          </w:tcPr>
          <w:p>
            <w:r>
              <w:rPr>
                <w:rFonts w:ascii="Arial" w:hAnsi="Arial"/>
                <w:sz w:val="18"/>
              </w:rPr>
              <w:t>¿El efecto se concentra en el horario regulado (L-V 7:00-20:00)?</w:t>
            </w:r>
          </w:p>
        </w:tc>
        <w:tc>
          <w:tcPr>
            <w:tcW w:type="dxa" w:w="3347"/>
            <w:shd w:fill="FFFFFF"/>
            <w:tcMar>
              <w:top w:w="50" w:type="dxa"/>
              <w:bottom w:w="50" w:type="dxa"/>
              <w:left w:w="80" w:type="dxa"/>
              <w:right w:w="80" w:type="dxa"/>
            </w:tcMar>
          </w:tcPr>
          <w:p>
            <w:r>
              <w:rPr>
                <w:rFonts w:ascii="Arial" w:hAnsi="Arial"/>
                <w:sz w:val="18"/>
              </w:rPr>
              <w:t>Estratificación horaria activa frente a noche y fines de semana.</w:t>
            </w:r>
          </w:p>
        </w:tc>
      </w:tr>
      <w:tr>
        <w:tc>
          <w:tcPr>
            <w:tcW w:type="dxa" w:w="3347"/>
            <w:shd w:fill="F2F5F7"/>
            <w:tcMar>
              <w:top w:w="50" w:type="dxa"/>
              <w:bottom w:w="50" w:type="dxa"/>
              <w:left w:w="80" w:type="dxa"/>
              <w:right w:w="80" w:type="dxa"/>
            </w:tcMar>
          </w:tcPr>
          <w:p>
            <w:r>
              <w:rPr>
                <w:rFonts w:ascii="Arial" w:hAnsi="Arial"/>
                <w:b/>
                <w:sz w:val="18"/>
              </w:rPr>
              <w:t>P3 (Alta)</w:t>
            </w:r>
          </w:p>
        </w:tc>
        <w:tc>
          <w:tcPr>
            <w:tcW w:type="dxa" w:w="3347"/>
            <w:shd w:fill="F2F5F7"/>
            <w:tcMar>
              <w:top w:w="50" w:type="dxa"/>
              <w:bottom w:w="50" w:type="dxa"/>
              <w:left w:w="80" w:type="dxa"/>
              <w:right w:w="80" w:type="dxa"/>
            </w:tcMar>
          </w:tcPr>
          <w:p>
            <w:r>
              <w:rPr>
                <w:rFonts w:ascii="Arial" w:hAnsi="Arial"/>
                <w:sz w:val="18"/>
              </w:rPr>
              <w:t>¿Se sostiene la reducción en calma atmosférica (&lt; 2 m/s)?</w:t>
            </w:r>
          </w:p>
        </w:tc>
        <w:tc>
          <w:tcPr>
            <w:tcW w:type="dxa" w:w="3347"/>
            <w:shd w:fill="F2F5F7"/>
            <w:tcMar>
              <w:top w:w="50" w:type="dxa"/>
              <w:bottom w:w="50" w:type="dxa"/>
              <w:left w:w="80" w:type="dxa"/>
              <w:right w:w="80" w:type="dxa"/>
            </w:tcMar>
          </w:tcPr>
          <w:p>
            <w:r>
              <w:rPr>
                <w:rFonts w:ascii="Arial" w:hAnsi="Arial"/>
                <w:sz w:val="18"/>
              </w:rPr>
              <w:t>Control estratificado por régimen de viento en Monte Banderas.</w:t>
            </w:r>
          </w:p>
        </w:tc>
      </w:tr>
      <w:tr>
        <w:tc>
          <w:tcPr>
            <w:tcW w:type="dxa" w:w="3347"/>
            <w:shd w:fill="FFFFFF"/>
            <w:tcMar>
              <w:top w:w="50" w:type="dxa"/>
              <w:bottom w:w="50" w:type="dxa"/>
              <w:left w:w="80" w:type="dxa"/>
              <w:right w:w="80" w:type="dxa"/>
            </w:tcMar>
          </w:tcPr>
          <w:p>
            <w:r>
              <w:rPr>
                <w:rFonts w:ascii="Arial" w:hAnsi="Arial"/>
                <w:b/>
                <w:sz w:val="18"/>
              </w:rPr>
              <w:t>P4 (Media)</w:t>
            </w:r>
          </w:p>
        </w:tc>
        <w:tc>
          <w:tcPr>
            <w:tcW w:type="dxa" w:w="3347"/>
            <w:shd w:fill="FFFFFF"/>
            <w:tcMar>
              <w:top w:w="50" w:type="dxa"/>
              <w:bottom w:w="50" w:type="dxa"/>
              <w:left w:w="80" w:type="dxa"/>
              <w:right w:w="80" w:type="dxa"/>
            </w:tcMar>
          </w:tcPr>
          <w:p>
            <w:r>
              <w:rPr>
                <w:rFonts w:ascii="Arial" w:hAnsi="Arial"/>
                <w:sz w:val="18"/>
              </w:rPr>
              <w:t>¿Existe correlación causal con el tráfico en los accesos?</w:t>
            </w:r>
          </w:p>
        </w:tc>
        <w:tc>
          <w:tcPr>
            <w:tcW w:type="dxa" w:w="3347"/>
            <w:shd w:fill="FFFFFF"/>
            <w:tcMar>
              <w:top w:w="50" w:type="dxa"/>
              <w:bottom w:w="50" w:type="dxa"/>
              <w:left w:w="80" w:type="dxa"/>
              <w:right w:w="80" w:type="dxa"/>
            </w:tcMar>
          </w:tcPr>
          <w:p>
            <w:r>
              <w:rPr>
                <w:rFonts w:ascii="Arial" w:hAnsi="Arial"/>
                <w:sz w:val="18"/>
              </w:rPr>
              <w:t>Contraste de aforos de San Mamés y red de circunvalación.</w:t>
            </w:r>
          </w:p>
        </w:tc>
      </w:tr>
      <w:tr>
        <w:tc>
          <w:tcPr>
            <w:tcW w:type="dxa" w:w="3347"/>
            <w:shd w:fill="F2F5F7"/>
            <w:tcMar>
              <w:top w:w="50" w:type="dxa"/>
              <w:bottom w:w="50" w:type="dxa"/>
              <w:left w:w="80" w:type="dxa"/>
              <w:right w:w="80" w:type="dxa"/>
            </w:tcMar>
          </w:tcPr>
          <w:p>
            <w:r>
              <w:rPr>
                <w:rFonts w:ascii="Arial" w:hAnsi="Arial"/>
                <w:b/>
                <w:sz w:val="18"/>
              </w:rPr>
              <w:t>P5 (Media)</w:t>
            </w:r>
          </w:p>
        </w:tc>
        <w:tc>
          <w:tcPr>
            <w:tcW w:type="dxa" w:w="3347"/>
            <w:shd w:fill="F2F5F7"/>
            <w:tcMar>
              <w:top w:w="50" w:type="dxa"/>
              <w:bottom w:w="50" w:type="dxa"/>
              <w:left w:w="80" w:type="dxa"/>
              <w:right w:w="80" w:type="dxa"/>
            </w:tcMar>
          </w:tcPr>
          <w:p>
            <w:r>
              <w:rPr>
                <w:rFonts w:ascii="Arial" w:hAnsi="Arial"/>
                <w:sz w:val="18"/>
              </w:rPr>
              <w:t>¿Aportó la Fase 2 una reducción marginal respecto a la Fase 1?</w:t>
            </w:r>
          </w:p>
        </w:tc>
        <w:tc>
          <w:tcPr>
            <w:tcW w:type="dxa" w:w="3347"/>
            <w:shd w:fill="F2F5F7"/>
            <w:tcMar>
              <w:top w:w="50" w:type="dxa"/>
              <w:bottom w:w="50" w:type="dxa"/>
              <w:left w:w="80" w:type="dxa"/>
              <w:right w:w="80" w:type="dxa"/>
            </w:tcMar>
          </w:tcPr>
          <w:p>
            <w:r>
              <w:rPr>
                <w:rFonts w:ascii="Arial" w:hAnsi="Arial"/>
                <w:sz w:val="18"/>
              </w:rPr>
              <w:t>Contraste de medias entre etapas regulatorias independientes.</w:t>
            </w:r>
          </w:p>
        </w:tc>
      </w:tr>
    </w:tbl>
    <w:p>
      <w:pPr>
        <w:spacing w:after="80"/>
      </w:pP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2</w:t>
            </w:r>
          </w:p>
        </w:tc>
        <w:tc>
          <w:tcPr>
            <w:tcW w:type="dxa" w:w="8930"/>
            <w:shd w:fill="F2F5F7"/>
            <w:tcMar>
              <w:top w:w="70" w:type="dxa"/>
              <w:bottom w:w="70" w:type="dxa"/>
              <w:left w:w="120" w:type="dxa"/>
              <w:right w:w="100" w:type="dxa"/>
            </w:tcMar>
          </w:tcPr>
          <w:p>
            <w:r>
              <w:rPr>
                <w:rFonts w:ascii="Arial" w:hAnsi="Arial"/>
                <w:b/>
                <w:color w:val="1F2A44"/>
                <w:sz w:val="26"/>
              </w:rPr>
              <w:t>Fuentes de datos y auditoría de calidad</w:t>
            </w:r>
          </w:p>
        </w:tc>
      </w:tr>
    </w:tbl>
    <w:p>
      <w:pPr>
        <w:spacing w:before="0" w:after="80"/>
      </w:pPr>
    </w:p>
    <w:p>
      <w:r>
        <w:t>Se adquirieron y unificaron cuatro fuentes oficiales: (1) Calidad del Aire (Gobierno Vasco), con mediciones horarias en Mazarredo y Mª Díaz de Haro (dentro), Europa, Barakaldo, Basauri, Erandio y Castrejana (control exterior) y Arraiz (fondo regional); (2) Meteorología horaria (Open-Meteo), con temperatura, humedad, viento y precipitación; (3) Calendario ZBE con festivos oficiales; y (4) Aforos de tráfico de accesos (DFB) y tramos urbanos en tiempo real (Bilbao Open Data).</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5020"/>
        <w:gridCol w:w="5020"/>
      </w:tblGrid>
      <w:tr>
        <w:tc>
          <w:tcPr>
            <w:tcW w:type="dxa" w:w="5020"/>
            <w:shd w:fill="0E7C7B"/>
            <w:tcMar>
              <w:top w:w="60" w:type="dxa"/>
              <w:bottom w:w="60" w:type="dxa"/>
              <w:left w:w="80" w:type="dxa"/>
              <w:right w:w="80" w:type="dxa"/>
            </w:tcMar>
          </w:tcPr>
          <w:p>
            <w:r>
              <w:rPr>
                <w:rFonts w:ascii="Arial" w:hAnsi="Arial"/>
                <w:b/>
                <w:color w:val="FFFFFF"/>
                <w:sz w:val="18"/>
              </w:rPr>
              <w:t>Problema de calidad detectado</w:t>
            </w:r>
          </w:p>
        </w:tc>
        <w:tc>
          <w:tcPr>
            <w:tcW w:type="dxa" w:w="5020"/>
            <w:shd w:fill="0E7C7B"/>
            <w:tcMar>
              <w:top w:w="60" w:type="dxa"/>
              <w:bottom w:w="60" w:type="dxa"/>
              <w:left w:w="80" w:type="dxa"/>
              <w:right w:w="80" w:type="dxa"/>
            </w:tcMar>
          </w:tcPr>
          <w:p>
            <w:r>
              <w:rPr>
                <w:rFonts w:ascii="Arial" w:hAnsi="Arial"/>
                <w:b/>
                <w:color w:val="FFFFFF"/>
                <w:sz w:val="18"/>
              </w:rPr>
              <w:t>Tratamiento técnico aplicado en el pipeline</w:t>
            </w:r>
          </w:p>
        </w:tc>
      </w:tr>
      <w:tr>
        <w:tc>
          <w:tcPr>
            <w:tcW w:type="dxa" w:w="5020"/>
            <w:shd w:fill="F2F5F7"/>
            <w:tcMar>
              <w:top w:w="50" w:type="dxa"/>
              <w:bottom w:w="50" w:type="dxa"/>
              <w:left w:w="80" w:type="dxa"/>
              <w:right w:w="80" w:type="dxa"/>
            </w:tcMar>
          </w:tcPr>
          <w:p>
            <w:r>
              <w:rPr>
                <w:rFonts w:ascii="Arial" w:hAnsi="Arial"/>
                <w:b/>
                <w:sz w:val="18"/>
              </w:rPr>
              <w:t>Coma decimal europea</w:t>
            </w:r>
          </w:p>
        </w:tc>
        <w:tc>
          <w:tcPr>
            <w:tcW w:type="dxa" w:w="5020"/>
            <w:shd w:fill="F2F5F7"/>
            <w:tcMar>
              <w:top w:w="50" w:type="dxa"/>
              <w:bottom w:w="50" w:type="dxa"/>
              <w:left w:w="80" w:type="dxa"/>
              <w:right w:w="80" w:type="dxa"/>
            </w:tcMar>
          </w:tcPr>
          <w:p>
            <w:r>
              <w:rPr>
                <w:rFonts w:ascii="Arial" w:hAnsi="Arial"/>
                <w:sz w:val="18"/>
              </w:rPr>
              <w:t>Conversión sistemática de strings con coma a números float64 estandarizados.</w:t>
            </w:r>
          </w:p>
        </w:tc>
      </w:tr>
      <w:tr>
        <w:tc>
          <w:tcPr>
            <w:tcW w:type="dxa" w:w="5020"/>
            <w:shd w:fill="FFFFFF"/>
            <w:tcMar>
              <w:top w:w="50" w:type="dxa"/>
              <w:bottom w:w="50" w:type="dxa"/>
              <w:left w:w="80" w:type="dxa"/>
              <w:right w:w="80" w:type="dxa"/>
            </w:tcMar>
          </w:tcPr>
          <w:p>
            <w:r>
              <w:rPr>
                <w:rFonts w:ascii="Arial" w:hAnsi="Arial"/>
                <w:b/>
                <w:sz w:val="18"/>
              </w:rPr>
              <w:t>Hora 24:00 del Gobierno Vasco</w:t>
            </w:r>
          </w:p>
        </w:tc>
        <w:tc>
          <w:tcPr>
            <w:tcW w:type="dxa" w:w="5020"/>
            <w:shd w:fill="FFFFFF"/>
            <w:tcMar>
              <w:top w:w="50" w:type="dxa"/>
              <w:bottom w:w="50" w:type="dxa"/>
              <w:left w:w="80" w:type="dxa"/>
              <w:right w:w="80" w:type="dxa"/>
            </w:tcMar>
          </w:tcPr>
          <w:p>
            <w:r>
              <w:rPr>
                <w:rFonts w:ascii="Arial" w:hAnsi="Arial"/>
                <w:sz w:val="18"/>
              </w:rPr>
              <w:t>Conversión algorítmica sumando 1 día calendario a las 00:00 h correspondientes.</w:t>
            </w:r>
          </w:p>
        </w:tc>
      </w:tr>
      <w:tr>
        <w:tc>
          <w:tcPr>
            <w:tcW w:type="dxa" w:w="5020"/>
            <w:shd w:fill="F2F5F7"/>
            <w:tcMar>
              <w:top w:w="50" w:type="dxa"/>
              <w:bottom w:w="50" w:type="dxa"/>
              <w:left w:w="80" w:type="dxa"/>
              <w:right w:w="80" w:type="dxa"/>
            </w:tcMar>
          </w:tcPr>
          <w:p>
            <w:r>
              <w:rPr>
                <w:rFonts w:ascii="Arial" w:hAnsi="Arial"/>
                <w:b/>
                <w:sz w:val="18"/>
              </w:rPr>
              <w:t>Desfase GMT vs. hora peninsular</w:t>
            </w:r>
          </w:p>
        </w:tc>
        <w:tc>
          <w:tcPr>
            <w:tcW w:type="dxa" w:w="5020"/>
            <w:shd w:fill="F2F5F7"/>
            <w:tcMar>
              <w:top w:w="50" w:type="dxa"/>
              <w:bottom w:w="50" w:type="dxa"/>
              <w:left w:w="80" w:type="dxa"/>
              <w:right w:w="80" w:type="dxa"/>
            </w:tcMar>
          </w:tcPr>
          <w:p>
            <w:r>
              <w:rPr>
                <w:rFonts w:ascii="Arial" w:hAnsi="Arial"/>
                <w:sz w:val="18"/>
              </w:rPr>
              <w:t>Transformación estricta a zona Europe/Madrid con horario de verano/invierno.</w:t>
            </w:r>
          </w:p>
        </w:tc>
      </w:tr>
      <w:tr>
        <w:tc>
          <w:tcPr>
            <w:tcW w:type="dxa" w:w="5020"/>
            <w:shd w:fill="FFFFFF"/>
            <w:tcMar>
              <w:top w:w="50" w:type="dxa"/>
              <w:bottom w:w="50" w:type="dxa"/>
              <w:left w:w="80" w:type="dxa"/>
              <w:right w:w="80" w:type="dxa"/>
            </w:tcMar>
          </w:tcPr>
          <w:p>
            <w:r>
              <w:rPr>
                <w:rFonts w:ascii="Arial" w:hAnsi="Arial"/>
                <w:b/>
                <w:sz w:val="18"/>
              </w:rPr>
              <w:t>Valores negativos anómalos</w:t>
            </w:r>
          </w:p>
        </w:tc>
        <w:tc>
          <w:tcPr>
            <w:tcW w:type="dxa" w:w="5020"/>
            <w:shd w:fill="FFFFFF"/>
            <w:tcMar>
              <w:top w:w="50" w:type="dxa"/>
              <w:bottom w:w="50" w:type="dxa"/>
              <w:left w:w="80" w:type="dxa"/>
              <w:right w:w="80" w:type="dxa"/>
            </w:tcMar>
          </w:tcPr>
          <w:p>
            <w:r>
              <w:rPr>
                <w:rFonts w:ascii="Arial" w:hAnsi="Arial"/>
                <w:sz w:val="18"/>
              </w:rPr>
              <w:t>Filtrado de lecturas &lt; 0 µg/m³ (0,04% de descalibración) e imputación por persistencia.</w:t>
            </w:r>
          </w:p>
        </w:tc>
      </w:tr>
    </w:tbl>
    <w:p>
      <w:pPr>
        <w:spacing w:after="80"/>
      </w:pP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3</w:t>
            </w:r>
          </w:p>
        </w:tc>
        <w:tc>
          <w:tcPr>
            <w:tcW w:type="dxa" w:w="8930"/>
            <w:shd w:fill="F2F5F7"/>
            <w:tcMar>
              <w:top w:w="70" w:type="dxa"/>
              <w:bottom w:w="70" w:type="dxa"/>
              <w:left w:w="120" w:type="dxa"/>
              <w:right w:w="100" w:type="dxa"/>
            </w:tcMar>
          </w:tcPr>
          <w:p>
            <w:r>
              <w:rPr>
                <w:rFonts w:ascii="Arial" w:hAnsi="Arial"/>
                <w:b/>
                <w:color w:val="1F2A44"/>
                <w:sz w:val="26"/>
              </w:rPr>
              <w:t>Integración de datos y arquitectura del pipeline</w:t>
            </w:r>
          </w:p>
        </w:tc>
      </w:tr>
    </w:tbl>
    <w:p>
      <w:pPr>
        <w:spacing w:before="0" w:after="80"/>
      </w:pPr>
    </w:p>
    <w:p>
      <w:r>
        <w:t>El ciclo de procesamiento e integración de datos se estructuró en cinco etapas secuenciales: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1116"/>
        <w:gridCol w:w="1116"/>
        <w:gridCol w:w="1116"/>
        <w:gridCol w:w="1116"/>
        <w:gridCol w:w="1116"/>
        <w:gridCol w:w="1116"/>
        <w:gridCol w:w="1116"/>
        <w:gridCol w:w="1116"/>
        <w:gridCol w:w="1116"/>
      </w:tblGrid>
      <w:tr>
        <w:tc>
          <w:tcPr>
            <w:tcW w:type="dxa" w:w="2000"/>
            <w:shd w:fill="0E7C7B"/>
            <w:tcMar>
              <w:top w:w="50" w:type="dxa"/>
              <w:bottom w:w="50" w:type="dxa"/>
              <w:left w:w="40" w:type="dxa"/>
              <w:right w:w="40" w:type="dxa"/>
            </w:tcMar>
          </w:tcPr>
          <w:p>
            <w:pPr>
              <w:jc w:val="center"/>
            </w:pPr>
            <w:r>
              <w:rPr>
                <w:rFonts w:ascii="Arial" w:hAnsi="Arial"/>
                <w:b/>
                <w:color w:val="FFFFFF"/>
                <w:sz w:val="16"/>
              </w:rPr>
              <w:t>1. DATOS</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2. LIMPIEZA</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3. INTEGRACIÓN</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4. ANÁLISIS</w:t>
            </w:r>
          </w:p>
        </w:tc>
        <w:tc>
          <w:tcPr>
            <w:tcW w:type="dxa" w:w="320"/>
          </w:tcPr>
          <w:p>
            <w:pPr>
              <w:jc w:val="center"/>
            </w:pPr>
            <w:r>
              <w:rPr>
                <w:rFonts w:ascii="Arial" w:hAnsi="Arial"/>
                <w:color w:val="44546A"/>
                <w:sz w:val="24"/>
              </w:rPr>
              <w:t>→</w:t>
            </w:r>
          </w:p>
        </w:tc>
        <w:tc>
          <w:tcPr>
            <w:tcW w:type="dxa" w:w="2000"/>
            <w:shd w:fill="0E7C7B"/>
            <w:tcMar>
              <w:top w:w="50" w:type="dxa"/>
              <w:bottom w:w="50" w:type="dxa"/>
              <w:left w:w="40" w:type="dxa"/>
              <w:right w:w="40" w:type="dxa"/>
            </w:tcMar>
          </w:tcPr>
          <w:p>
            <w:pPr>
              <w:jc w:val="center"/>
            </w:pPr>
            <w:r>
              <w:rPr>
                <w:rFonts w:ascii="Arial" w:hAnsi="Arial"/>
                <w:b/>
                <w:color w:val="FFFFFF"/>
                <w:sz w:val="16"/>
              </w:rPr>
              <w:t>5. DECISIÓN</w:t>
            </w:r>
          </w:p>
        </w:tc>
      </w:tr>
      <w:tr>
        <w:tc>
          <w:tcPr>
            <w:tcW w:type="dxa" w:w="2000"/>
            <w:shd w:fill="F2F5F7"/>
            <w:tcMar>
              <w:top w:w="50" w:type="dxa"/>
              <w:bottom w:w="50" w:type="dxa"/>
              <w:left w:w="40" w:type="dxa"/>
              <w:right w:w="40" w:type="dxa"/>
            </w:tcMar>
          </w:tcPr>
          <w:p>
            <w:r>
              <w:rPr>
                <w:rFonts w:ascii="Arial" w:hAnsi="Arial"/>
                <w:color w:val="2B2F3A"/>
                <w:sz w:val="16"/>
              </w:rPr>
              <w:t>Series horarias crudas en InfluxDB y Open Data.</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Saneamiento de comas, hora 24:00 y valores nulos.</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JOIN espaciotemporal en (estacion, ts_local).</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Modelo Diff-in-Diff y control meteorológico.</w:t>
            </w:r>
          </w:p>
        </w:tc>
        <w:tc>
          <w:tcPr>
            <w:tcW w:type="dxa" w:w="320"/>
          </w:tcPr>
          <w:p/>
        </w:tc>
        <w:tc>
          <w:tcPr>
            <w:tcW w:type="dxa" w:w="2000"/>
            <w:shd w:fill="F2F5F7"/>
            <w:tcMar>
              <w:top w:w="50" w:type="dxa"/>
              <w:bottom w:w="50" w:type="dxa"/>
              <w:left w:w="40" w:type="dxa"/>
              <w:right w:w="40" w:type="dxa"/>
            </w:tcMar>
          </w:tcPr>
          <w:p>
            <w:r>
              <w:rPr>
                <w:rFonts w:ascii="Arial" w:hAnsi="Arial"/>
                <w:color w:val="2B2F3A"/>
                <w:sz w:val="16"/>
              </w:rPr>
              <w:t>Cuadros de mando, umbrales y recomendaciones.</w:t>
            </w:r>
          </w:p>
        </w:tc>
      </w:tr>
    </w:tbl>
    <w:p>
      <w:pPr>
        <w:spacing w:after="80"/>
      </w:pPr>
    </w:p>
    <w:p>
      <w:r>
        <w:t>El JOIN espaciotemporal consolidó un dataset maestro de 332.776 registros horarios coincidentes, con 0 duplicados en la clave primaria (estacion, ts_local) y una tasa de nulos residual inferior al 1,2%.</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4</w:t>
            </w:r>
          </w:p>
        </w:tc>
        <w:tc>
          <w:tcPr>
            <w:tcW w:type="dxa" w:w="8930"/>
            <w:shd w:fill="F2F5F7"/>
            <w:tcMar>
              <w:top w:w="70" w:type="dxa"/>
              <w:bottom w:w="70" w:type="dxa"/>
              <w:left w:w="120" w:type="dxa"/>
              <w:right w:w="100" w:type="dxa"/>
            </w:tcMar>
          </w:tcPr>
          <w:p>
            <w:r>
              <w:rPr>
                <w:rFonts w:ascii="Arial" w:hAnsi="Arial"/>
                <w:b/>
                <w:color w:val="1F2A44"/>
                <w:sz w:val="26"/>
              </w:rPr>
              <w:t>Resultados analíticos y modelo Diff-in-Diff</w:t>
            </w:r>
          </w:p>
        </w:tc>
      </w:tr>
    </w:tbl>
    <w:p>
      <w:pPr>
        <w:spacing w:before="0" w:after="80"/>
      </w:pPr>
    </w:p>
    <w:p>
      <w:r>
        <w:t>La tabla sintética resume la evolución media del NO2 en cada estación y zona antes y después de la entrada en vigor de la ZBE (15/06/2024):</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008"/>
        <w:gridCol w:w="2008"/>
        <w:gridCol w:w="2008"/>
        <w:gridCol w:w="2008"/>
        <w:gridCol w:w="2008"/>
      </w:tblGrid>
      <w:tr>
        <w:tc>
          <w:tcPr>
            <w:tcW w:type="dxa" w:w="2008"/>
            <w:shd w:fill="0E7C7B"/>
            <w:tcMar>
              <w:top w:w="60" w:type="dxa"/>
              <w:bottom w:w="60" w:type="dxa"/>
              <w:left w:w="80" w:type="dxa"/>
              <w:right w:w="80" w:type="dxa"/>
            </w:tcMar>
          </w:tcPr>
          <w:p>
            <w:r>
              <w:rPr>
                <w:rFonts w:ascii="Arial" w:hAnsi="Arial"/>
                <w:b/>
                <w:color w:val="FFFFFF"/>
                <w:sz w:val="18"/>
              </w:rPr>
              <w:t>Zona / Estación</w:t>
            </w:r>
          </w:p>
        </w:tc>
        <w:tc>
          <w:tcPr>
            <w:tcW w:type="dxa" w:w="2008"/>
            <w:shd w:fill="0E7C7B"/>
            <w:tcMar>
              <w:top w:w="60" w:type="dxa"/>
              <w:bottom w:w="60" w:type="dxa"/>
              <w:left w:w="80" w:type="dxa"/>
              <w:right w:w="80" w:type="dxa"/>
            </w:tcMar>
          </w:tcPr>
          <w:p>
            <w:r>
              <w:rPr>
                <w:rFonts w:ascii="Arial" w:hAnsi="Arial"/>
                <w:b/>
                <w:color w:val="FFFFFF"/>
                <w:sz w:val="18"/>
              </w:rPr>
              <w:t>Media Pre-ZBE</w:t>
            </w:r>
          </w:p>
        </w:tc>
        <w:tc>
          <w:tcPr>
            <w:tcW w:type="dxa" w:w="2008"/>
            <w:shd w:fill="0E7C7B"/>
            <w:tcMar>
              <w:top w:w="60" w:type="dxa"/>
              <w:bottom w:w="60" w:type="dxa"/>
              <w:left w:w="80" w:type="dxa"/>
              <w:right w:w="80" w:type="dxa"/>
            </w:tcMar>
          </w:tcPr>
          <w:p>
            <w:r>
              <w:rPr>
                <w:rFonts w:ascii="Arial" w:hAnsi="Arial"/>
                <w:b/>
                <w:color w:val="FFFFFF"/>
                <w:sz w:val="18"/>
              </w:rPr>
              <w:t>Media Post-ZBE</w:t>
            </w:r>
          </w:p>
        </w:tc>
        <w:tc>
          <w:tcPr>
            <w:tcW w:type="dxa" w:w="2008"/>
            <w:shd w:fill="0E7C7B"/>
            <w:tcMar>
              <w:top w:w="60" w:type="dxa"/>
              <w:bottom w:w="60" w:type="dxa"/>
              <w:left w:w="80" w:type="dxa"/>
              <w:right w:w="80" w:type="dxa"/>
            </w:tcMar>
          </w:tcPr>
          <w:p>
            <w:r>
              <w:rPr>
                <w:rFonts w:ascii="Arial" w:hAnsi="Arial"/>
                <w:b/>
                <w:color w:val="FFFFFF"/>
                <w:sz w:val="18"/>
              </w:rPr>
              <w:t>Var. Absoluta</w:t>
            </w:r>
          </w:p>
        </w:tc>
        <w:tc>
          <w:tcPr>
            <w:tcW w:type="dxa" w:w="2008"/>
            <w:shd w:fill="0E7C7B"/>
            <w:tcMar>
              <w:top w:w="60" w:type="dxa"/>
              <w:bottom w:w="60" w:type="dxa"/>
              <w:left w:w="80" w:type="dxa"/>
              <w:right w:w="80" w:type="dxa"/>
            </w:tcMar>
          </w:tcPr>
          <w:p>
            <w:r>
              <w:rPr>
                <w:rFonts w:ascii="Arial" w:hAnsi="Arial"/>
                <w:b/>
                <w:color w:val="FFFFFF"/>
                <w:sz w:val="18"/>
              </w:rPr>
              <w:t>Var. Relativa</w:t>
            </w:r>
          </w:p>
        </w:tc>
      </w:tr>
      <w:tr>
        <w:tc>
          <w:tcPr>
            <w:tcW w:type="dxa" w:w="2008"/>
            <w:shd w:fill="E6F3F2"/>
            <w:tcMar>
              <w:top w:w="50" w:type="dxa"/>
              <w:bottom w:w="50" w:type="dxa"/>
              <w:left w:w="80" w:type="dxa"/>
              <w:right w:w="80" w:type="dxa"/>
            </w:tcMar>
          </w:tcPr>
          <w:p>
            <w:r>
              <w:rPr>
                <w:rFonts w:ascii="Arial" w:hAnsi="Arial"/>
                <w:b/>
                <w:sz w:val="18"/>
              </w:rPr>
              <w:t>Dentro ZBE (Mazarredo + Mª Díaz Haro)</w:t>
            </w:r>
          </w:p>
        </w:tc>
        <w:tc>
          <w:tcPr>
            <w:tcW w:type="dxa" w:w="2008"/>
            <w:shd w:fill="E6F3F2"/>
            <w:tcMar>
              <w:top w:w="50" w:type="dxa"/>
              <w:bottom w:w="50" w:type="dxa"/>
              <w:left w:w="80" w:type="dxa"/>
              <w:right w:w="80" w:type="dxa"/>
            </w:tcMar>
          </w:tcPr>
          <w:p>
            <w:r>
              <w:rPr>
                <w:rFonts w:ascii="Arial" w:hAnsi="Arial"/>
                <w:b/>
                <w:sz w:val="18"/>
              </w:rPr>
              <w:t>25,50 µg/m³</w:t>
            </w:r>
          </w:p>
        </w:tc>
        <w:tc>
          <w:tcPr>
            <w:tcW w:type="dxa" w:w="2008"/>
            <w:shd w:fill="E6F3F2"/>
            <w:tcMar>
              <w:top w:w="50" w:type="dxa"/>
              <w:bottom w:w="50" w:type="dxa"/>
              <w:left w:w="80" w:type="dxa"/>
              <w:right w:w="80" w:type="dxa"/>
            </w:tcMar>
          </w:tcPr>
          <w:p>
            <w:r>
              <w:rPr>
                <w:rFonts w:ascii="Arial" w:hAnsi="Arial"/>
                <w:b/>
                <w:sz w:val="18"/>
              </w:rPr>
              <w:t>21,90 µg/m³</w:t>
            </w:r>
          </w:p>
        </w:tc>
        <w:tc>
          <w:tcPr>
            <w:tcW w:type="dxa" w:w="2008"/>
            <w:shd w:fill="E6F3F2"/>
            <w:tcMar>
              <w:top w:w="50" w:type="dxa"/>
              <w:bottom w:w="50" w:type="dxa"/>
              <w:left w:w="80" w:type="dxa"/>
              <w:right w:w="80" w:type="dxa"/>
            </w:tcMar>
          </w:tcPr>
          <w:p>
            <w:r>
              <w:rPr>
                <w:rFonts w:ascii="Arial" w:hAnsi="Arial"/>
                <w:b/>
                <w:sz w:val="18"/>
              </w:rPr>
              <w:t>-3,59 µg/m³</w:t>
            </w:r>
          </w:p>
        </w:tc>
        <w:tc>
          <w:tcPr>
            <w:tcW w:type="dxa" w:w="2008"/>
            <w:shd w:fill="E6F3F2"/>
            <w:tcMar>
              <w:top w:w="50" w:type="dxa"/>
              <w:bottom w:w="50" w:type="dxa"/>
              <w:left w:w="80" w:type="dxa"/>
              <w:right w:w="80" w:type="dxa"/>
            </w:tcMar>
          </w:tcPr>
          <w:p>
            <w:r>
              <w:rPr>
                <w:rFonts w:ascii="Arial" w:hAnsi="Arial"/>
                <w:b/>
                <w:sz w:val="18"/>
              </w:rPr>
              <w:t>-14,08%</w:t>
            </w:r>
          </w:p>
        </w:tc>
      </w:tr>
      <w:tr>
        <w:tc>
          <w:tcPr>
            <w:tcW w:type="dxa" w:w="2008"/>
            <w:shd w:fill="FFFFFF"/>
            <w:tcMar>
              <w:top w:w="50" w:type="dxa"/>
              <w:bottom w:w="50" w:type="dxa"/>
              <w:left w:w="80" w:type="dxa"/>
              <w:right w:w="80" w:type="dxa"/>
            </w:tcMar>
          </w:tcPr>
          <w:p>
            <w:r>
              <w:rPr>
                <w:rFonts w:ascii="Arial" w:hAnsi="Arial"/>
                <w:b/>
                <w:sz w:val="18"/>
              </w:rPr>
              <w:t>Control Fuera (5 est. Gran Bilbao Urbano)</w:t>
            </w:r>
          </w:p>
        </w:tc>
        <w:tc>
          <w:tcPr>
            <w:tcW w:type="dxa" w:w="2008"/>
            <w:shd w:fill="FFFFFF"/>
            <w:tcMar>
              <w:top w:w="50" w:type="dxa"/>
              <w:bottom w:w="50" w:type="dxa"/>
              <w:left w:w="80" w:type="dxa"/>
              <w:right w:w="80" w:type="dxa"/>
            </w:tcMar>
          </w:tcPr>
          <w:p>
            <w:r>
              <w:rPr>
                <w:rFonts w:ascii="Arial" w:hAnsi="Arial"/>
                <w:sz w:val="18"/>
              </w:rPr>
              <w:t>18,25 µg/m³</w:t>
            </w:r>
          </w:p>
        </w:tc>
        <w:tc>
          <w:tcPr>
            <w:tcW w:type="dxa" w:w="2008"/>
            <w:shd w:fill="FFFFFF"/>
            <w:tcMar>
              <w:top w:w="50" w:type="dxa"/>
              <w:bottom w:w="50" w:type="dxa"/>
              <w:left w:w="80" w:type="dxa"/>
              <w:right w:w="80" w:type="dxa"/>
            </w:tcMar>
          </w:tcPr>
          <w:p>
            <w:r>
              <w:rPr>
                <w:rFonts w:ascii="Arial" w:hAnsi="Arial"/>
                <w:sz w:val="18"/>
              </w:rPr>
              <w:t>16,29 µg/m³</w:t>
            </w:r>
          </w:p>
        </w:tc>
        <w:tc>
          <w:tcPr>
            <w:tcW w:type="dxa" w:w="2008"/>
            <w:shd w:fill="FFFFFF"/>
            <w:tcMar>
              <w:top w:w="50" w:type="dxa"/>
              <w:bottom w:w="50" w:type="dxa"/>
              <w:left w:w="80" w:type="dxa"/>
              <w:right w:w="80" w:type="dxa"/>
            </w:tcMar>
          </w:tcPr>
          <w:p>
            <w:r>
              <w:rPr>
                <w:rFonts w:ascii="Arial" w:hAnsi="Arial"/>
                <w:sz w:val="18"/>
              </w:rPr>
              <w:t>-1,96 µg/m³</w:t>
            </w:r>
          </w:p>
        </w:tc>
        <w:tc>
          <w:tcPr>
            <w:tcW w:type="dxa" w:w="2008"/>
            <w:shd w:fill="FFFFFF"/>
            <w:tcMar>
              <w:top w:w="50" w:type="dxa"/>
              <w:bottom w:w="50" w:type="dxa"/>
              <w:left w:w="80" w:type="dxa"/>
              <w:right w:w="80" w:type="dxa"/>
            </w:tcMar>
          </w:tcPr>
          <w:p>
            <w:r>
              <w:rPr>
                <w:rFonts w:ascii="Arial" w:hAnsi="Arial"/>
                <w:sz w:val="18"/>
              </w:rPr>
              <w:t>-10,75%</w:t>
            </w:r>
          </w:p>
        </w:tc>
      </w:tr>
      <w:tr>
        <w:tc>
          <w:tcPr>
            <w:tcW w:type="dxa" w:w="2008"/>
            <w:shd w:fill="F2F5F7"/>
            <w:tcMar>
              <w:top w:w="50" w:type="dxa"/>
              <w:bottom w:w="50" w:type="dxa"/>
              <w:left w:w="80" w:type="dxa"/>
              <w:right w:w="80" w:type="dxa"/>
            </w:tcMar>
          </w:tcPr>
          <w:p>
            <w:r>
              <w:rPr>
                <w:rFonts w:ascii="Arial" w:hAnsi="Arial"/>
                <w:b/>
                <w:sz w:val="18"/>
              </w:rPr>
              <w:t>Fondo Regional (Monte Arraiz)</w:t>
            </w:r>
          </w:p>
        </w:tc>
        <w:tc>
          <w:tcPr>
            <w:tcW w:type="dxa" w:w="2008"/>
            <w:shd w:fill="F2F5F7"/>
            <w:tcMar>
              <w:top w:w="50" w:type="dxa"/>
              <w:bottom w:w="50" w:type="dxa"/>
              <w:left w:w="80" w:type="dxa"/>
              <w:right w:w="80" w:type="dxa"/>
            </w:tcMar>
          </w:tcPr>
          <w:p>
            <w:r>
              <w:rPr>
                <w:rFonts w:ascii="Arial" w:hAnsi="Arial"/>
                <w:sz w:val="18"/>
              </w:rPr>
              <w:t>8,73 µg/m³</w:t>
            </w:r>
          </w:p>
        </w:tc>
        <w:tc>
          <w:tcPr>
            <w:tcW w:type="dxa" w:w="2008"/>
            <w:shd w:fill="F2F5F7"/>
            <w:tcMar>
              <w:top w:w="50" w:type="dxa"/>
              <w:bottom w:w="50" w:type="dxa"/>
              <w:left w:w="80" w:type="dxa"/>
              <w:right w:w="80" w:type="dxa"/>
            </w:tcMar>
          </w:tcPr>
          <w:p>
            <w:r>
              <w:rPr>
                <w:rFonts w:ascii="Arial" w:hAnsi="Arial"/>
                <w:sz w:val="18"/>
              </w:rPr>
              <w:t>8,16 µg/m³</w:t>
            </w:r>
          </w:p>
        </w:tc>
        <w:tc>
          <w:tcPr>
            <w:tcW w:type="dxa" w:w="2008"/>
            <w:shd w:fill="F2F5F7"/>
            <w:tcMar>
              <w:top w:w="50" w:type="dxa"/>
              <w:bottom w:w="50" w:type="dxa"/>
              <w:left w:w="80" w:type="dxa"/>
              <w:right w:w="80" w:type="dxa"/>
            </w:tcMar>
          </w:tcPr>
          <w:p>
            <w:r>
              <w:rPr>
                <w:rFonts w:ascii="Arial" w:hAnsi="Arial"/>
                <w:sz w:val="18"/>
              </w:rPr>
              <w:t>-0,57 µg/m³</w:t>
            </w:r>
          </w:p>
        </w:tc>
        <w:tc>
          <w:tcPr>
            <w:tcW w:type="dxa" w:w="2008"/>
            <w:shd w:fill="F2F5F7"/>
            <w:tcMar>
              <w:top w:w="50" w:type="dxa"/>
              <w:bottom w:w="50" w:type="dxa"/>
              <w:left w:w="80" w:type="dxa"/>
              <w:right w:w="80" w:type="dxa"/>
            </w:tcMar>
          </w:tcPr>
          <w:p>
            <w:r>
              <w:rPr>
                <w:rFonts w:ascii="Arial" w:hAnsi="Arial"/>
                <w:sz w:val="18"/>
              </w:rPr>
              <w:t>-6,53%</w:t>
            </w:r>
          </w:p>
        </w:tc>
      </w:tr>
      <w:tr>
        <w:tc>
          <w:tcPr>
            <w:tcW w:type="dxa" w:w="2008"/>
            <w:shd w:fill="FFFFFF"/>
            <w:tcMar>
              <w:top w:w="50" w:type="dxa"/>
              <w:bottom w:w="50" w:type="dxa"/>
              <w:left w:w="80" w:type="dxa"/>
              <w:right w:w="80" w:type="dxa"/>
            </w:tcMar>
          </w:tcPr>
          <w:p>
            <w:r>
              <w:rPr>
                <w:rFonts w:ascii="Arial" w:hAnsi="Arial"/>
                <w:b/>
                <w:sz w:val="18"/>
              </w:rPr>
              <w:t>Estación Mazarredo (Interior tráfico)</w:t>
            </w:r>
          </w:p>
        </w:tc>
        <w:tc>
          <w:tcPr>
            <w:tcW w:type="dxa" w:w="2008"/>
            <w:shd w:fill="FFFFFF"/>
            <w:tcMar>
              <w:top w:w="50" w:type="dxa"/>
              <w:bottom w:w="50" w:type="dxa"/>
              <w:left w:w="80" w:type="dxa"/>
              <w:right w:w="80" w:type="dxa"/>
            </w:tcMar>
          </w:tcPr>
          <w:p>
            <w:r>
              <w:rPr>
                <w:rFonts w:ascii="Arial" w:hAnsi="Arial"/>
                <w:sz w:val="18"/>
              </w:rPr>
              <w:t>26,71 µg/m³</w:t>
            </w:r>
          </w:p>
        </w:tc>
        <w:tc>
          <w:tcPr>
            <w:tcW w:type="dxa" w:w="2008"/>
            <w:shd w:fill="FFFFFF"/>
            <w:tcMar>
              <w:top w:w="50" w:type="dxa"/>
              <w:bottom w:w="50" w:type="dxa"/>
              <w:left w:w="80" w:type="dxa"/>
              <w:right w:w="80" w:type="dxa"/>
            </w:tcMar>
          </w:tcPr>
          <w:p>
            <w:r>
              <w:rPr>
                <w:rFonts w:ascii="Arial" w:hAnsi="Arial"/>
                <w:sz w:val="18"/>
              </w:rPr>
              <w:t>22,86 µg/m³</w:t>
            </w:r>
          </w:p>
        </w:tc>
        <w:tc>
          <w:tcPr>
            <w:tcW w:type="dxa" w:w="2008"/>
            <w:shd w:fill="FFFFFF"/>
            <w:tcMar>
              <w:top w:w="50" w:type="dxa"/>
              <w:bottom w:w="50" w:type="dxa"/>
              <w:left w:w="80" w:type="dxa"/>
              <w:right w:w="80" w:type="dxa"/>
            </w:tcMar>
          </w:tcPr>
          <w:p>
            <w:r>
              <w:rPr>
                <w:rFonts w:ascii="Arial" w:hAnsi="Arial"/>
                <w:sz w:val="18"/>
              </w:rPr>
              <w:t>-3,85 µg/m³</w:t>
            </w:r>
          </w:p>
        </w:tc>
        <w:tc>
          <w:tcPr>
            <w:tcW w:type="dxa" w:w="2008"/>
            <w:shd w:fill="FFFFFF"/>
            <w:tcMar>
              <w:top w:w="50" w:type="dxa"/>
              <w:bottom w:w="50" w:type="dxa"/>
              <w:left w:w="80" w:type="dxa"/>
              <w:right w:w="80" w:type="dxa"/>
            </w:tcMar>
          </w:tcPr>
          <w:p>
            <w:r>
              <w:rPr>
                <w:rFonts w:ascii="Arial" w:hAnsi="Arial"/>
                <w:sz w:val="18"/>
              </w:rPr>
              <w:t>-14,41%</w:t>
            </w:r>
          </w:p>
        </w:tc>
      </w:tr>
      <w:tr>
        <w:tc>
          <w:tcPr>
            <w:tcW w:type="dxa" w:w="2008"/>
            <w:shd w:fill="F2F5F7"/>
            <w:tcMar>
              <w:top w:w="50" w:type="dxa"/>
              <w:bottom w:w="50" w:type="dxa"/>
              <w:left w:w="80" w:type="dxa"/>
              <w:right w:w="80" w:type="dxa"/>
            </w:tcMar>
          </w:tcPr>
          <w:p>
            <w:r>
              <w:rPr>
                <w:rFonts w:ascii="Arial" w:hAnsi="Arial"/>
                <w:b/>
                <w:sz w:val="18"/>
              </w:rPr>
              <w:t>Estación Mª Díaz de Haro (Interior urbano)</w:t>
            </w:r>
          </w:p>
        </w:tc>
        <w:tc>
          <w:tcPr>
            <w:tcW w:type="dxa" w:w="2008"/>
            <w:shd w:fill="F2F5F7"/>
            <w:tcMar>
              <w:top w:w="50" w:type="dxa"/>
              <w:bottom w:w="50" w:type="dxa"/>
              <w:left w:w="80" w:type="dxa"/>
              <w:right w:w="80" w:type="dxa"/>
            </w:tcMar>
          </w:tcPr>
          <w:p>
            <w:r>
              <w:rPr>
                <w:rFonts w:ascii="Arial" w:hAnsi="Arial"/>
                <w:sz w:val="18"/>
              </w:rPr>
              <w:t>24,28 µg/m³</w:t>
            </w:r>
          </w:p>
        </w:tc>
        <w:tc>
          <w:tcPr>
            <w:tcW w:type="dxa" w:w="2008"/>
            <w:shd w:fill="F2F5F7"/>
            <w:tcMar>
              <w:top w:w="50" w:type="dxa"/>
              <w:bottom w:w="50" w:type="dxa"/>
              <w:left w:w="80" w:type="dxa"/>
              <w:right w:w="80" w:type="dxa"/>
            </w:tcMar>
          </w:tcPr>
          <w:p>
            <w:r>
              <w:rPr>
                <w:rFonts w:ascii="Arial" w:hAnsi="Arial"/>
                <w:sz w:val="18"/>
              </w:rPr>
              <w:t>20,95 µg/m³</w:t>
            </w:r>
          </w:p>
        </w:tc>
        <w:tc>
          <w:tcPr>
            <w:tcW w:type="dxa" w:w="2008"/>
            <w:shd w:fill="F2F5F7"/>
            <w:tcMar>
              <w:top w:w="50" w:type="dxa"/>
              <w:bottom w:w="50" w:type="dxa"/>
              <w:left w:w="80" w:type="dxa"/>
              <w:right w:w="80" w:type="dxa"/>
            </w:tcMar>
          </w:tcPr>
          <w:p>
            <w:r>
              <w:rPr>
                <w:rFonts w:ascii="Arial" w:hAnsi="Arial"/>
                <w:sz w:val="18"/>
              </w:rPr>
              <w:t>-3,33 µg/m³</w:t>
            </w:r>
          </w:p>
        </w:tc>
        <w:tc>
          <w:tcPr>
            <w:tcW w:type="dxa" w:w="2008"/>
            <w:shd w:fill="F2F5F7"/>
            <w:tcMar>
              <w:top w:w="50" w:type="dxa"/>
              <w:bottom w:w="50" w:type="dxa"/>
              <w:left w:w="80" w:type="dxa"/>
              <w:right w:w="80" w:type="dxa"/>
            </w:tcMar>
          </w:tcPr>
          <w:p>
            <w:r>
              <w:rPr>
                <w:rFonts w:ascii="Arial" w:hAnsi="Arial"/>
                <w:sz w:val="18"/>
              </w:rPr>
              <w:t>-13,71%</w:t>
            </w:r>
          </w:p>
        </w:tc>
      </w:tr>
      <w:tr>
        <w:tc>
          <w:tcPr>
            <w:tcW w:type="dxa" w:w="2008"/>
            <w:shd w:fill="FFFFFF"/>
            <w:tcMar>
              <w:top w:w="50" w:type="dxa"/>
              <w:bottom w:w="50" w:type="dxa"/>
              <w:left w:w="80" w:type="dxa"/>
              <w:right w:w="80" w:type="dxa"/>
            </w:tcMar>
          </w:tcPr>
          <w:p>
            <w:r>
              <w:rPr>
                <w:rFonts w:ascii="Arial" w:hAnsi="Arial"/>
                <w:b/>
                <w:sz w:val="18"/>
              </w:rPr>
              <w:t>Estación Europa (Bilbao Norte control)</w:t>
            </w:r>
          </w:p>
        </w:tc>
        <w:tc>
          <w:tcPr>
            <w:tcW w:type="dxa" w:w="2008"/>
            <w:shd w:fill="FFFFFF"/>
            <w:tcMar>
              <w:top w:w="50" w:type="dxa"/>
              <w:bottom w:w="50" w:type="dxa"/>
              <w:left w:w="80" w:type="dxa"/>
              <w:right w:w="80" w:type="dxa"/>
            </w:tcMar>
          </w:tcPr>
          <w:p>
            <w:r>
              <w:rPr>
                <w:rFonts w:ascii="Arial" w:hAnsi="Arial"/>
                <w:sz w:val="18"/>
              </w:rPr>
              <w:t>21,30 µg/m³</w:t>
            </w:r>
          </w:p>
        </w:tc>
        <w:tc>
          <w:tcPr>
            <w:tcW w:type="dxa" w:w="2008"/>
            <w:shd w:fill="FFFFFF"/>
            <w:tcMar>
              <w:top w:w="50" w:type="dxa"/>
              <w:bottom w:w="50" w:type="dxa"/>
              <w:left w:w="80" w:type="dxa"/>
              <w:right w:w="80" w:type="dxa"/>
            </w:tcMar>
          </w:tcPr>
          <w:p>
            <w:r>
              <w:rPr>
                <w:rFonts w:ascii="Arial" w:hAnsi="Arial"/>
                <w:sz w:val="18"/>
              </w:rPr>
              <w:t>18,35 µg/m³</w:t>
            </w:r>
          </w:p>
        </w:tc>
        <w:tc>
          <w:tcPr>
            <w:tcW w:type="dxa" w:w="2008"/>
            <w:shd w:fill="FFFFFF"/>
            <w:tcMar>
              <w:top w:w="50" w:type="dxa"/>
              <w:bottom w:w="50" w:type="dxa"/>
              <w:left w:w="80" w:type="dxa"/>
              <w:right w:w="80" w:type="dxa"/>
            </w:tcMar>
          </w:tcPr>
          <w:p>
            <w:r>
              <w:rPr>
                <w:rFonts w:ascii="Arial" w:hAnsi="Arial"/>
                <w:sz w:val="18"/>
              </w:rPr>
              <w:t>-2,95 µg/m³</w:t>
            </w:r>
          </w:p>
        </w:tc>
        <w:tc>
          <w:tcPr>
            <w:tcW w:type="dxa" w:w="2008"/>
            <w:shd w:fill="FFFFFF"/>
            <w:tcMar>
              <w:top w:w="50" w:type="dxa"/>
              <w:bottom w:w="50" w:type="dxa"/>
              <w:left w:w="80" w:type="dxa"/>
              <w:right w:w="80" w:type="dxa"/>
            </w:tcMar>
          </w:tcPr>
          <w:p>
            <w:r>
              <w:rPr>
                <w:rFonts w:ascii="Arial" w:hAnsi="Arial"/>
                <w:sz w:val="18"/>
              </w:rPr>
              <w:t>-13,85%</w:t>
            </w:r>
          </w:p>
        </w:tc>
      </w:tr>
    </w:tbl>
    <w:p>
      <w:pPr>
        <w:spacing w:after="40"/>
      </w:pPr>
    </w:p>
    <w:p>
      <w:r>
        <w:t>El titular real del impacto es más modesto y preciso que la simple caída bruta antes/después (-14,08%): fuera de la ZBE el NO2 también descendió -1,96 µg/m³ (-10,75%) por meteorología favorable y renovación del parque móvil. Descontando esa inercia metropolitana, el impacto causal neto atribuible a la ZBE mediante Diferencias en Diferencias es de -1,63 µg/m³ (error estándar 0,12; t = -13,41; p-valor &lt; 0,001), lo que representa una reducción neta en torno al -6,4% sobre la base previa de 25,50 µg/m³.</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5</w:t>
            </w:r>
          </w:p>
        </w:tc>
        <w:tc>
          <w:tcPr>
            <w:tcW w:type="dxa" w:w="8930"/>
            <w:shd w:fill="F2F5F7"/>
            <w:tcMar>
              <w:top w:w="70" w:type="dxa"/>
              <w:bottom w:w="70" w:type="dxa"/>
              <w:left w:w="120" w:type="dxa"/>
              <w:right w:w="100" w:type="dxa"/>
            </w:tcMar>
          </w:tcPr>
          <w:p>
            <w:r>
              <w:rPr>
                <w:rFonts w:ascii="Arial" w:hAnsi="Arial"/>
                <w:b/>
                <w:color w:val="1F2A44"/>
                <w:sz w:val="26"/>
              </w:rPr>
              <w:t>Visualizaciones clave e interpretación causal</w:t>
            </w:r>
          </w:p>
        </w:tc>
      </w:tr>
    </w:tbl>
    <w:p>
      <w:pPr>
        <w:spacing w:before="0" w:after="80"/>
      </w:pPr>
    </w:p>
    <w:p>
      <w:pPr>
        <w:spacing w:after="40"/>
      </w:pPr>
      <w:r>
        <w:rPr>
          <w:rFonts w:ascii="Arial" w:hAnsi="Arial"/>
          <w:b/>
          <w:color w:val="1F2A44"/>
          <w:sz w:val="21"/>
        </w:rPr>
        <w:t>Figura 1: Evolución mensual del NO2 dentro vs. fuera de la ZBE (2022–2026)</w:t>
      </w:r>
    </w:p>
    <w:p>
      <w:r>
        <w:t>• Presentación: Se compara la serie temporal agregada mensual de NO2 entre estaciones interiores (Abando: Mazarredo y Mª Díaz de Haro) y el conjunto de control exterior metropolitano del Gran Bilbao (5 estaciones), marcando el inicio de la Fase 1 (15/06/2024).</w:t>
      </w:r>
    </w:p>
    <w:p>
      <w:pPr>
        <w:spacing w:before="40" w:after="40"/>
        <w:jc w:val="center"/>
      </w:pPr>
    </w:p>
    <w:p>
      <w:r>
        <w:drawing>
          <wp:inline xmlns:a="http://schemas.openxmlformats.org/drawingml/2006/main" xmlns:pic="http://schemas.openxmlformats.org/drawingml/2006/picture">
            <wp:extent cx="3749039" cy="1730326"/>
            <wp:docPr id="1" name="Picture 1"/>
            <wp:cNvGraphicFramePr>
              <a:graphicFrameLocks noChangeAspect="1"/>
            </wp:cNvGraphicFramePr>
            <a:graphic>
              <a:graphicData uri="http://schemas.openxmlformats.org/drawingml/2006/picture">
                <pic:pic>
                  <pic:nvPicPr>
                    <pic:cNvPr id="0" name="g1_evolucion_mensual_no2.png"/>
                    <pic:cNvPicPr/>
                  </pic:nvPicPr>
                  <pic:blipFill>
                    <a:blip r:embed="rId11"/>
                    <a:stretch>
                      <a:fillRect/>
                    </a:stretch>
                  </pic:blipFill>
                  <pic:spPr>
                    <a:xfrm>
                      <a:off x="0" y="0"/>
                      <a:ext cx="3749039" cy="1730326"/>
                    </a:xfrm>
                    <a:prstGeom prst="rect"/>
                  </pic:spPr>
                </pic:pic>
              </a:graphicData>
            </a:graphic>
          </wp:inline>
        </w:drawing>
      </w:r>
    </w:p>
    <w:p>
      <w:r>
        <w:t>• Interpretación causal: Durante 2022 y 2023 ambas series presentan picos invernales idénticos por estancamiento (&gt; 34 µg/m³). A partir del verano de 2024, la serie interior se desacopla a la baja de forma sistemática: en el invierno 2024–2025 el pico máximo interior no superó los 28 µg/m³, reflejando un cambio estructural local independiente de la climatología regional.</w:t>
      </w:r>
    </w:p>
    <w:p>
      <w:pPr>
        <w:spacing w:after="40"/>
      </w:pPr>
      <w:r>
        <w:rPr>
          <w:rFonts w:ascii="Arial" w:hAnsi="Arial"/>
          <w:b/>
          <w:color w:val="1F2A44"/>
          <w:sz w:val="21"/>
        </w:rPr>
        <w:t>Figura 2: Modelo cuasiexperimental de Diferencias en Diferencias (Diff-in-Diff)</w:t>
      </w:r>
    </w:p>
    <w:p>
      <w:r>
        <w:t>• Presentación: Gráfica del modelo econométrico Diff-in-Diff comparando la trayectoria real de tratamiento frente al contrafactual proyectado a partir de las estaciones de control del Gran Bilbao.</w:t>
      </w:r>
    </w:p>
    <w:p>
      <w:pPr>
        <w:spacing w:before="40" w:after="40"/>
        <w:jc w:val="center"/>
      </w:pPr>
    </w:p>
    <w:p>
      <w:r>
        <w:drawing>
          <wp:inline xmlns:a="http://schemas.openxmlformats.org/drawingml/2006/main" xmlns:pic="http://schemas.openxmlformats.org/drawingml/2006/picture">
            <wp:extent cx="3749039" cy="2082799"/>
            <wp:docPr id="2" name="Picture 2"/>
            <wp:cNvGraphicFramePr>
              <a:graphicFrameLocks noChangeAspect="1"/>
            </wp:cNvGraphicFramePr>
            <a:graphic>
              <a:graphicData uri="http://schemas.openxmlformats.org/drawingml/2006/picture">
                <pic:pic>
                  <pic:nvPicPr>
                    <pic:cNvPr id="0" name="g2_diff_in_diff_visual.png"/>
                    <pic:cNvPicPr/>
                  </pic:nvPicPr>
                  <pic:blipFill>
                    <a:blip r:embed="rId12"/>
                    <a:stretch>
                      <a:fillRect/>
                    </a:stretch>
                  </pic:blipFill>
                  <pic:spPr>
                    <a:xfrm>
                      <a:off x="0" y="0"/>
                      <a:ext cx="3749039" cy="2082799"/>
                    </a:xfrm>
                    <a:prstGeom prst="rect"/>
                  </pic:spPr>
                </pic:pic>
              </a:graphicData>
            </a:graphic>
          </wp:inline>
        </w:drawing>
      </w:r>
    </w:p>
    <w:p>
      <w:r>
        <w:t>• Interpretación causal: Sin la ordenanza, el interior de Bilbao habría descendido únicamente hasta 23,53 µg/m³ por inercia metropolitana. El valor observado cayó hasta 21,90 µg/m³. La brecha entre ambas curvas (-1,63 µg/m³, -6,4%) representa el efecto causal directo de las restricciones.</w:t>
      </w:r>
    </w:p>
    <w:p>
      <w:pPr>
        <w:spacing w:after="40"/>
      </w:pPr>
      <w:r>
        <w:rPr>
          <w:rFonts w:ascii="Arial" w:hAnsi="Arial"/>
          <w:b/>
          <w:color w:val="1F2A44"/>
          <w:sz w:val="21"/>
        </w:rPr>
        <w:t>Figura 3: Control meteorológico bajo calma atmosférica (viento &lt; 2 m/s)</w:t>
      </w:r>
    </w:p>
    <w:p>
      <w:r>
        <w:t>• Presentación: Comportamiento del NO2 interior y exterior aislado exclusivamente para horas de baja ventilación (&lt; 2 m/s), donde no hay dispersión mecánica y el aire depende de las emisiones locales directas.</w:t>
      </w:r>
    </w:p>
    <w:p>
      <w:pPr>
        <w:spacing w:before="40" w:after="40"/>
        <w:jc w:val="center"/>
      </w:pPr>
    </w:p>
    <w:p>
      <w:r>
        <w:drawing>
          <wp:inline xmlns:a="http://schemas.openxmlformats.org/drawingml/2006/main" xmlns:pic="http://schemas.openxmlformats.org/drawingml/2006/picture">
            <wp:extent cx="3749039" cy="2082799"/>
            <wp:docPr id="3" name="Picture 3"/>
            <wp:cNvGraphicFramePr>
              <a:graphicFrameLocks noChangeAspect="1"/>
            </wp:cNvGraphicFramePr>
            <a:graphic>
              <a:graphicData uri="http://schemas.openxmlformats.org/drawingml/2006/picture">
                <pic:pic>
                  <pic:nvPicPr>
                    <pic:cNvPr id="0" name="g6_dispersion_no2_viento.png"/>
                    <pic:cNvPicPr/>
                  </pic:nvPicPr>
                  <pic:blipFill>
                    <a:blip r:embed="rId13"/>
                    <a:stretch>
                      <a:fillRect/>
                    </a:stretch>
                  </pic:blipFill>
                  <pic:spPr>
                    <a:xfrm>
                      <a:off x="0" y="0"/>
                      <a:ext cx="3749039" cy="2082799"/>
                    </a:xfrm>
                    <a:prstGeom prst="rect"/>
                  </pic:spPr>
                </pic:pic>
              </a:graphicData>
            </a:graphic>
          </wp:inline>
        </w:drawing>
      </w:r>
    </w:p>
    <w:p>
      <w:r>
        <w:t>• Interpretación causal: En calma atmosférica (&lt; 2 m/s), el NO2 interior pasó de 28,10 µg/m³ a 25,47 µg/m³ en Fase 1 (-9,4%) y a 23,56 µg/m³ en Fase 2 (-16,2%), con un promedio post global de 24,35 µg/m³ (-13,4%). La ZBE es especialmente eficaz en los momentos de mayor peligro sanitario para la ciudadanía.</w:t>
      </w:r>
    </w:p>
    <w:p>
      <w:pPr>
        <w:spacing w:after="40"/>
      </w:pPr>
      <w:r>
        <w:rPr>
          <w:rFonts w:ascii="Arial" w:hAnsi="Arial"/>
          <w:b/>
          <w:color w:val="1F2A44"/>
          <w:sz w:val="21"/>
        </w:rPr>
        <w:t>Figura 4: Panel multivariable de decisión y correlación con aforos de tráfico</w:t>
      </w:r>
    </w:p>
    <w:p>
      <w:r>
        <w:t>• Presentación: Panel integral de cuatro cuadrantes combinando concentraciones de NO2, evolución de intensidades vehiculares en el acceso principal de San Mamés (Diputación de Bizkaia) y variaciones consolidadas.</w:t>
      </w:r>
    </w:p>
    <w:p>
      <w:pPr>
        <w:spacing w:before="40" w:after="40"/>
        <w:jc w:val="center"/>
      </w:pPr>
    </w:p>
    <w:p>
      <w:r>
        <w:drawing>
          <wp:inline xmlns:a="http://schemas.openxmlformats.org/drawingml/2006/main" xmlns:pic="http://schemas.openxmlformats.org/drawingml/2006/picture">
            <wp:extent cx="3749039" cy="2499359"/>
            <wp:docPr id="4" name="Picture 4"/>
            <wp:cNvGraphicFramePr>
              <a:graphicFrameLocks noChangeAspect="1"/>
            </wp:cNvGraphicFramePr>
            <a:graphic>
              <a:graphicData uri="http://schemas.openxmlformats.org/drawingml/2006/picture">
                <pic:pic>
                  <pic:nvPicPr>
                    <pic:cNvPr id="0" name="dashboard_decision_v1.png"/>
                    <pic:cNvPicPr/>
                  </pic:nvPicPr>
                  <pic:blipFill>
                    <a:blip r:embed="rId14"/>
                    <a:stretch>
                      <a:fillRect/>
                    </a:stretch>
                  </pic:blipFill>
                  <pic:spPr>
                    <a:xfrm>
                      <a:off x="0" y="0"/>
                      <a:ext cx="3749039" cy="2499359"/>
                    </a:xfrm>
                    <a:prstGeom prst="rect"/>
                  </pic:spPr>
                </pic:pic>
              </a:graphicData>
            </a:graphic>
          </wp:inline>
        </w:drawing>
      </w:r>
    </w:p>
    <w:p>
      <w:r>
        <w:t>• Interpretación causal: El acceso de San Mamés registró en 2024 un descenso acusado del -10,12% (50.127 a 45.052 veh/día). En 2025 se observó un rebote a 48.543 veh/día (+7,75% interanual), dejando la reducción neta 2023–2025 en un -3,16% (~ -3,2%). Esta evolución evidencia una disuasión inicial acusada seguida de adaptación de la flota. Asimismo, el test placebo con SO2 mostró un efecto Diff-in-Diff neutro de +0,33 µg/m³ (-3,94% bruto dentro), confirmando la especificidad vehicular.</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6</w:t>
            </w:r>
          </w:p>
        </w:tc>
        <w:tc>
          <w:tcPr>
            <w:tcW w:type="dxa" w:w="8930"/>
            <w:shd w:fill="F2F5F7"/>
            <w:tcMar>
              <w:top w:w="70" w:type="dxa"/>
              <w:bottom w:w="70" w:type="dxa"/>
              <w:left w:w="120" w:type="dxa"/>
              <w:right w:w="100" w:type="dxa"/>
            </w:tcMar>
          </w:tcPr>
          <w:p>
            <w:r>
              <w:rPr>
                <w:rFonts w:ascii="Arial" w:hAnsi="Arial"/>
                <w:b/>
                <w:color w:val="1F2A44"/>
                <w:sz w:val="26"/>
              </w:rPr>
              <w:t>Conclusiones estratégicas y recomendaciones</w:t>
            </w:r>
          </w:p>
        </w:tc>
      </w:tr>
    </w:tbl>
    <w:p>
      <w:pPr>
        <w:spacing w:before="0" w:after="80"/>
      </w:pPr>
    </w:p>
    <w:p>
      <w:r>
        <w:t>1. Impacto neto probado pero moderado: La ZBE de Bilbao ha generado una reducción neta atribuible de -1,63 µg/m³ de NO2 (en torno al -6,4% sobre la base previa), sustancialmente menor que la caída bruta del -14% antes/después debido a la mejora general metropolitana.</w:t>
        <w:br/>
        <w:t>2. Eficacia protectora en episodios críticos: En situaciones de calma atmosférica e inversión térmica, la reducción alcanza entre el -9,4% y el -16,2%, disminuyendo las horas de superación de los umbrales de aviso de la OMS (25 µg/m³).</w:t>
        <w:br/>
        <w:t>3. Rendimientos decrecientes entre fases: La Fase 1 (sin etiqueta) concentró la mayor parte del beneficio. La Fase 2 (etiqueta B) ha mostrado una ganancia marginal reducida, coincidiendo con el rebote y estabilización del tráfico de acceso en 2025 (-3,2% neto vs 2023).</w:t>
      </w:r>
    </w:p>
    <w:p>
      <w:pPr>
        <w:spacing w:before="60"/>
      </w:pPr>
      <w:r>
        <w:rPr>
          <w:rFonts w:ascii="Arial" w:hAnsi="Arial"/>
          <w:b/>
          <w:color w:val="44546A"/>
          <w:sz w:val="21"/>
        </w:rPr>
        <w:t>Cinco limitaciones metodológicas asumidas con rigor institucional:</w:t>
      </w:r>
    </w:p>
    <w:p>
      <w:r>
        <w:t>• Representatividad espacial: Solo dos estaciones fijas oficiales en el interior de la ZBE (Mazarredo y Mª Díaz de Haro).</w:t>
        <w:br/>
        <w:t>• Magnitud absoluta moderada: El impacto neto (-1,63 µg/m³) es modesto frente a la variabilidad meteorológica interanual.</w:t>
        <w:br/>
        <w:t>• Inercia del periodo base: Los años 2022 y 2023 reflejaban aún pautas de movilidad en recuperación tras el COVID-19.</w:t>
        <w:br/>
        <w:t>• Factores concurrentes: Bonificaciones al transporte público, expansión ciclable y renovación vegetativa natural del parque móvil.</w:t>
        <w:br/>
        <w:t>• Concentración vs. emisiones: Las estaciones registran concentración en aire (µg/m³), no emisiones directas en tubo de escape.</w:t>
      </w:r>
    </w:p>
    <w:p>
      <w:pPr>
        <w:spacing w:before="80"/>
      </w:pPr>
      <w:r>
        <w:rPr>
          <w:rFonts w:ascii="Arial" w:hAnsi="Arial"/>
          <w:b/>
          <w:color w:val="0E7C7B"/>
          <w:sz w:val="21"/>
        </w:rPr>
        <w:t>Recomendaciones técnicas al Ayuntamiento:</w:t>
      </w:r>
    </w:p>
    <w:p>
      <w:r>
        <w:t>• Mantener la regulación actual y priorizar la electrificación del reparto urbano: No se aconseja un endurecimiento drástico adicional a turismos (coste socioeconómico alto con ganancia marginal decreciente); priorizar furgonetas y distribución de última milla.</w:t>
        <w:br/>
        <w:t>• Despliegue de sensores perimetrales: Monitorizar arterias límite (Autonomía, Sagrado Corazón, Deusto) para descartar efectos de desplazamiento de tráfico (spillover).</w:t>
        <w:br/>
        <w:t>• Mantenimiento del esquema horario: Preservar la vigencia de lunes a viernes de 7:00 a 20:00 h, descartando restricciones nocturnas innecesarias.</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7</w:t>
            </w:r>
          </w:p>
        </w:tc>
        <w:tc>
          <w:tcPr>
            <w:tcW w:type="dxa" w:w="8930"/>
            <w:shd w:fill="F2F5F7"/>
            <w:tcMar>
              <w:top w:w="70" w:type="dxa"/>
              <w:bottom w:w="70" w:type="dxa"/>
              <w:left w:w="120" w:type="dxa"/>
              <w:right w:w="100" w:type="dxa"/>
            </w:tcMar>
          </w:tcPr>
          <w:p>
            <w:r>
              <w:rPr>
                <w:rFonts w:ascii="Arial" w:hAnsi="Arial"/>
                <w:b/>
                <w:color w:val="1F2A44"/>
                <w:sz w:val="26"/>
              </w:rPr>
              <w:t>Herramientas tecnológicas y justificación</w:t>
            </w:r>
          </w:p>
        </w:tc>
      </w:tr>
    </w:tbl>
    <w:p>
      <w:pPr>
        <w:spacing w:before="0" w:after="80"/>
      </w:pP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347"/>
        <w:gridCol w:w="3347"/>
        <w:gridCol w:w="3347"/>
      </w:tblGrid>
      <w:tr>
        <w:tc>
          <w:tcPr>
            <w:tcW w:type="dxa" w:w="3347"/>
            <w:shd w:fill="0E7C7B"/>
            <w:tcMar>
              <w:top w:w="50" w:type="dxa"/>
              <w:bottom w:w="50" w:type="dxa"/>
              <w:left w:w="80" w:type="dxa"/>
              <w:right w:w="80" w:type="dxa"/>
            </w:tcMar>
          </w:tcPr>
          <w:p>
            <w:r>
              <w:rPr>
                <w:rFonts w:ascii="Arial" w:hAnsi="Arial"/>
                <w:b/>
                <w:color w:val="FFFFFF"/>
                <w:sz w:val="18"/>
              </w:rPr>
              <w:t>Tecnología</w:t>
            </w:r>
          </w:p>
        </w:tc>
        <w:tc>
          <w:tcPr>
            <w:tcW w:type="dxa" w:w="3347"/>
            <w:shd w:fill="0E7C7B"/>
            <w:tcMar>
              <w:top w:w="50" w:type="dxa"/>
              <w:bottom w:w="50" w:type="dxa"/>
              <w:left w:w="80" w:type="dxa"/>
              <w:right w:w="80" w:type="dxa"/>
            </w:tcMar>
          </w:tcPr>
          <w:p>
            <w:r>
              <w:rPr>
                <w:rFonts w:ascii="Arial" w:hAnsi="Arial"/>
                <w:b/>
                <w:color w:val="FFFFFF"/>
                <w:sz w:val="18"/>
              </w:rPr>
              <w:t>Función en el proyecto</w:t>
            </w:r>
          </w:p>
        </w:tc>
        <w:tc>
          <w:tcPr>
            <w:tcW w:type="dxa" w:w="3347"/>
            <w:shd w:fill="0E7C7B"/>
            <w:tcMar>
              <w:top w:w="50" w:type="dxa"/>
              <w:bottom w:w="50" w:type="dxa"/>
              <w:left w:w="80" w:type="dxa"/>
              <w:right w:w="80" w:type="dxa"/>
            </w:tcMar>
          </w:tcPr>
          <w:p>
            <w:r>
              <w:rPr>
                <w:rFonts w:ascii="Arial" w:hAnsi="Arial"/>
                <w:b/>
                <w:color w:val="FFFFFF"/>
                <w:sz w:val="18"/>
              </w:rPr>
              <w:t>Justificación técnica de selección</w:t>
            </w:r>
          </w:p>
        </w:tc>
      </w:tr>
      <w:tr>
        <w:tc>
          <w:tcPr>
            <w:tcW w:type="dxa" w:w="3347"/>
            <w:shd w:fill="F2F5F7"/>
            <w:tcMar>
              <w:top w:w="45" w:type="dxa"/>
              <w:bottom w:w="45" w:type="dxa"/>
              <w:left w:w="80" w:type="dxa"/>
              <w:right w:w="80" w:type="dxa"/>
            </w:tcMar>
          </w:tcPr>
          <w:p>
            <w:r>
              <w:rPr>
                <w:rFonts w:ascii="Arial" w:hAnsi="Arial"/>
                <w:b/>
                <w:sz w:val="17"/>
              </w:rPr>
              <w:t>Python + Pandas / Statsmodels</w:t>
            </w:r>
          </w:p>
        </w:tc>
        <w:tc>
          <w:tcPr>
            <w:tcW w:type="dxa" w:w="3347"/>
            <w:shd w:fill="F2F5F7"/>
            <w:tcMar>
              <w:top w:w="45" w:type="dxa"/>
              <w:bottom w:w="45" w:type="dxa"/>
              <w:left w:w="80" w:type="dxa"/>
              <w:right w:w="80" w:type="dxa"/>
            </w:tcMar>
          </w:tcPr>
          <w:p>
            <w:r>
              <w:rPr>
                <w:rFonts w:ascii="Arial" w:hAnsi="Arial"/>
                <w:sz w:val="17"/>
              </w:rPr>
              <w:t>ETL, limpieza y regresión cuasiexperimental.</w:t>
            </w:r>
          </w:p>
        </w:tc>
        <w:tc>
          <w:tcPr>
            <w:tcW w:type="dxa" w:w="3347"/>
            <w:shd w:fill="F2F5F7"/>
            <w:tcMar>
              <w:top w:w="45" w:type="dxa"/>
              <w:bottom w:w="45" w:type="dxa"/>
              <w:left w:w="80" w:type="dxa"/>
              <w:right w:w="80" w:type="dxa"/>
            </w:tcMar>
          </w:tcPr>
          <w:p>
            <w:r>
              <w:rPr>
                <w:rFonts w:ascii="Arial" w:hAnsi="Arial"/>
                <w:sz w:val="17"/>
              </w:rPr>
              <w:t>Procesamiento vectorizado en memoria y cálculo de errores estándar robustos a heterocedasticidad.</w:t>
            </w:r>
          </w:p>
        </w:tc>
      </w:tr>
      <w:tr>
        <w:tc>
          <w:tcPr>
            <w:tcW w:type="dxa" w:w="3347"/>
            <w:shd w:fill="FFFFFF"/>
            <w:tcMar>
              <w:top w:w="45" w:type="dxa"/>
              <w:bottom w:w="45" w:type="dxa"/>
              <w:left w:w="80" w:type="dxa"/>
              <w:right w:w="80" w:type="dxa"/>
            </w:tcMar>
          </w:tcPr>
          <w:p>
            <w:r>
              <w:rPr>
                <w:rFonts w:ascii="Arial" w:hAnsi="Arial"/>
                <w:b/>
                <w:sz w:val="17"/>
              </w:rPr>
              <w:t>InfluxDB 2.9 (TSDB)</w:t>
            </w:r>
          </w:p>
        </w:tc>
        <w:tc>
          <w:tcPr>
            <w:tcW w:type="dxa" w:w="3347"/>
            <w:shd w:fill="FFFFFF"/>
            <w:tcMar>
              <w:top w:w="45" w:type="dxa"/>
              <w:bottom w:w="45" w:type="dxa"/>
              <w:left w:w="80" w:type="dxa"/>
              <w:right w:w="80" w:type="dxa"/>
            </w:tcMar>
          </w:tcPr>
          <w:p>
            <w:r>
              <w:rPr>
                <w:rFonts w:ascii="Arial" w:hAnsi="Arial"/>
                <w:sz w:val="17"/>
              </w:rPr>
              <w:t>Almacén de series temporales de alta frecuencia.</w:t>
            </w:r>
          </w:p>
        </w:tc>
        <w:tc>
          <w:tcPr>
            <w:tcW w:type="dxa" w:w="3347"/>
            <w:shd w:fill="FFFFFF"/>
            <w:tcMar>
              <w:top w:w="45" w:type="dxa"/>
              <w:bottom w:w="45" w:type="dxa"/>
              <w:left w:w="80" w:type="dxa"/>
              <w:right w:w="80" w:type="dxa"/>
            </w:tcMar>
          </w:tcPr>
          <w:p>
            <w:r>
              <w:rPr>
                <w:rFonts w:ascii="Arial" w:hAnsi="Arial"/>
                <w:sz w:val="17"/>
              </w:rPr>
              <w:t>Motor columnar TSM optimizado para consultas de tiempo y retención automatizada por bucket.</w:t>
            </w:r>
          </w:p>
        </w:tc>
      </w:tr>
      <w:tr>
        <w:tc>
          <w:tcPr>
            <w:tcW w:type="dxa" w:w="3347"/>
            <w:shd w:fill="F2F5F7"/>
            <w:tcMar>
              <w:top w:w="45" w:type="dxa"/>
              <w:bottom w:w="45" w:type="dxa"/>
              <w:left w:w="80" w:type="dxa"/>
              <w:right w:w="80" w:type="dxa"/>
            </w:tcMar>
          </w:tcPr>
          <w:p>
            <w:r>
              <w:rPr>
                <w:rFonts w:ascii="Arial" w:hAnsi="Arial"/>
                <w:b/>
                <w:sz w:val="17"/>
              </w:rPr>
              <w:t>Node-RED</w:t>
            </w:r>
          </w:p>
        </w:tc>
        <w:tc>
          <w:tcPr>
            <w:tcW w:type="dxa" w:w="3347"/>
            <w:shd w:fill="F2F5F7"/>
            <w:tcMar>
              <w:top w:w="45" w:type="dxa"/>
              <w:bottom w:w="45" w:type="dxa"/>
              <w:left w:w="80" w:type="dxa"/>
              <w:right w:w="80" w:type="dxa"/>
            </w:tcMar>
          </w:tcPr>
          <w:p>
            <w:r>
              <w:rPr>
                <w:rFonts w:ascii="Arial" w:hAnsi="Arial"/>
                <w:sz w:val="17"/>
              </w:rPr>
              <w:t>Orquestador de flujos en tiempo real.</w:t>
            </w:r>
          </w:p>
        </w:tc>
        <w:tc>
          <w:tcPr>
            <w:tcW w:type="dxa" w:w="3347"/>
            <w:shd w:fill="F2F5F7"/>
            <w:tcMar>
              <w:top w:w="45" w:type="dxa"/>
              <w:bottom w:w="45" w:type="dxa"/>
              <w:left w:w="80" w:type="dxa"/>
              <w:right w:w="80" w:type="dxa"/>
            </w:tcMar>
          </w:tcPr>
          <w:p>
            <w:r>
              <w:rPr>
                <w:rFonts w:ascii="Arial" w:hAnsi="Arial"/>
                <w:sz w:val="17"/>
              </w:rPr>
              <w:t>Gestión tolerante a fallos para consultar APIs externas y conversión nativa a Line Protocol.</w:t>
            </w:r>
          </w:p>
        </w:tc>
      </w:tr>
      <w:tr>
        <w:tc>
          <w:tcPr>
            <w:tcW w:type="dxa" w:w="3347"/>
            <w:shd w:fill="FFFFFF"/>
            <w:tcMar>
              <w:top w:w="45" w:type="dxa"/>
              <w:bottom w:w="45" w:type="dxa"/>
              <w:left w:w="80" w:type="dxa"/>
              <w:right w:w="80" w:type="dxa"/>
            </w:tcMar>
          </w:tcPr>
          <w:p>
            <w:r>
              <w:rPr>
                <w:rFonts w:ascii="Arial" w:hAnsi="Arial"/>
                <w:b/>
                <w:sz w:val="17"/>
              </w:rPr>
              <w:t>Grafana 11.2</w:t>
            </w:r>
          </w:p>
        </w:tc>
        <w:tc>
          <w:tcPr>
            <w:tcW w:type="dxa" w:w="3347"/>
            <w:shd w:fill="FFFFFF"/>
            <w:tcMar>
              <w:top w:w="45" w:type="dxa"/>
              <w:bottom w:w="45" w:type="dxa"/>
              <w:left w:w="80" w:type="dxa"/>
              <w:right w:w="80" w:type="dxa"/>
            </w:tcMar>
          </w:tcPr>
          <w:p>
            <w:r>
              <w:rPr>
                <w:rFonts w:ascii="Arial" w:hAnsi="Arial"/>
                <w:sz w:val="17"/>
              </w:rPr>
              <w:t>Cuadros de mando y control de acceso (RBAC).</w:t>
            </w:r>
          </w:p>
        </w:tc>
        <w:tc>
          <w:tcPr>
            <w:tcW w:type="dxa" w:w="3347"/>
            <w:shd w:fill="FFFFFF"/>
            <w:tcMar>
              <w:top w:w="45" w:type="dxa"/>
              <w:bottom w:w="45" w:type="dxa"/>
              <w:left w:w="80" w:type="dxa"/>
              <w:right w:w="80" w:type="dxa"/>
            </w:tcMar>
          </w:tcPr>
          <w:p>
            <w:r>
              <w:rPr>
                <w:rFonts w:ascii="Arial" w:hAnsi="Arial"/>
                <w:sz w:val="17"/>
              </w:rPr>
              <w:t>Soporte de consultas Flux, reglas de alerta automáticas y segregación de perfiles por equipos.</w:t>
            </w:r>
          </w:p>
        </w:tc>
      </w:tr>
      <w:tr>
        <w:tc>
          <w:tcPr>
            <w:tcW w:type="dxa" w:w="3347"/>
            <w:shd w:fill="F2F5F7"/>
            <w:tcMar>
              <w:top w:w="45" w:type="dxa"/>
              <w:bottom w:w="45" w:type="dxa"/>
              <w:left w:w="80" w:type="dxa"/>
              <w:right w:w="80" w:type="dxa"/>
            </w:tcMar>
          </w:tcPr>
          <w:p>
            <w:r>
              <w:rPr>
                <w:rFonts w:ascii="Arial" w:hAnsi="Arial"/>
                <w:b/>
                <w:sz w:val="17"/>
              </w:rPr>
              <w:t>InfluxDB MCP Server</w:t>
            </w:r>
          </w:p>
        </w:tc>
        <w:tc>
          <w:tcPr>
            <w:tcW w:type="dxa" w:w="3347"/>
            <w:shd w:fill="F2F5F7"/>
            <w:tcMar>
              <w:top w:w="45" w:type="dxa"/>
              <w:bottom w:w="45" w:type="dxa"/>
              <w:left w:w="80" w:type="dxa"/>
              <w:right w:w="80" w:type="dxa"/>
            </w:tcMar>
          </w:tcPr>
          <w:p>
            <w:r>
              <w:rPr>
                <w:rFonts w:ascii="Arial" w:hAnsi="Arial"/>
                <w:sz w:val="17"/>
              </w:rPr>
              <w:t>Interfaz Model Context Protocol en solo lectura.</w:t>
            </w:r>
          </w:p>
        </w:tc>
        <w:tc>
          <w:tcPr>
            <w:tcW w:type="dxa" w:w="3347"/>
            <w:shd w:fill="F2F5F7"/>
            <w:tcMar>
              <w:top w:w="45" w:type="dxa"/>
              <w:bottom w:w="45" w:type="dxa"/>
              <w:left w:w="80" w:type="dxa"/>
              <w:right w:w="80" w:type="dxa"/>
            </w:tcMar>
          </w:tcPr>
          <w:p>
            <w:r>
              <w:rPr>
                <w:rFonts w:ascii="Arial" w:hAnsi="Arial"/>
                <w:sz w:val="17"/>
              </w:rPr>
              <w:t>Permite a agentes de lenguaje interrogar los buckets de InfluxDB mediante herramientas seguras.</w:t>
            </w:r>
          </w:p>
        </w:tc>
      </w:tr>
    </w:tbl>
    <w:p>
      <w:pPr>
        <w:spacing w:after="80"/>
      </w:pP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5020"/>
        <w:gridCol w:w="5020"/>
      </w:tblGrid>
      <w:tr>
        <w:tc>
          <w:tcPr>
            <w:tcW w:type="dxa" w:w="776"/>
            <w:shd w:fill="0E7C7B"/>
            <w:tcMar>
              <w:top w:w="70" w:type="dxa"/>
              <w:bottom w:w="70" w:type="dxa"/>
              <w:left w:w="40" w:type="dxa"/>
              <w:right w:w="40" w:type="dxa"/>
            </w:tcMar>
          </w:tcPr>
          <w:p>
            <w:pPr>
              <w:jc w:val="center"/>
            </w:pPr>
            <w:r>
              <w:rPr>
                <w:rFonts w:ascii="Arial" w:hAnsi="Arial"/>
                <w:b/>
                <w:color w:val="FFFFFF"/>
                <w:sz w:val="26"/>
              </w:rPr>
              <w:t>8</w:t>
            </w:r>
          </w:p>
        </w:tc>
        <w:tc>
          <w:tcPr>
            <w:tcW w:type="dxa" w:w="8930"/>
            <w:shd w:fill="F2F5F7"/>
            <w:tcMar>
              <w:top w:w="70" w:type="dxa"/>
              <w:bottom w:w="70" w:type="dxa"/>
              <w:left w:w="120" w:type="dxa"/>
              <w:right w:w="100" w:type="dxa"/>
            </w:tcMar>
          </w:tcPr>
          <w:p>
            <w:r>
              <w:rPr>
                <w:rFonts w:ascii="Arial" w:hAnsi="Arial"/>
                <w:b/>
                <w:color w:val="1F2A44"/>
                <w:sz w:val="26"/>
              </w:rPr>
              <w:t>Organización del trabajo y responsabilidades (Matriz RACI)</w:t>
            </w:r>
          </w:p>
        </w:tc>
      </w:tr>
    </w:tbl>
    <w:p>
      <w:pPr>
        <w:spacing w:before="0" w:after="80"/>
      </w:pP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347"/>
        <w:gridCol w:w="3347"/>
        <w:gridCol w:w="3347"/>
      </w:tblGrid>
      <w:tr>
        <w:tc>
          <w:tcPr>
            <w:tcW w:type="dxa" w:w="3347"/>
            <w:shd w:fill="0E7C7B"/>
            <w:tcMar>
              <w:top w:w="50" w:type="dxa"/>
              <w:bottom w:w="50" w:type="dxa"/>
              <w:left w:w="80" w:type="dxa"/>
              <w:right w:w="80" w:type="dxa"/>
            </w:tcMar>
          </w:tcPr>
          <w:p>
            <w:r>
              <w:rPr>
                <w:rFonts w:ascii="Arial" w:hAnsi="Arial"/>
                <w:b/>
                <w:color w:val="FFFFFF"/>
                <w:sz w:val="18"/>
              </w:rPr>
              <w:t>Miembro del equipo</w:t>
            </w:r>
          </w:p>
        </w:tc>
        <w:tc>
          <w:tcPr>
            <w:tcW w:type="dxa" w:w="3347"/>
            <w:shd w:fill="0E7C7B"/>
            <w:tcMar>
              <w:top w:w="50" w:type="dxa"/>
              <w:bottom w:w="50" w:type="dxa"/>
              <w:left w:w="80" w:type="dxa"/>
              <w:right w:w="80" w:type="dxa"/>
            </w:tcMar>
          </w:tcPr>
          <w:p>
            <w:r>
              <w:rPr>
                <w:rFonts w:ascii="Arial" w:hAnsi="Arial"/>
                <w:b/>
                <w:color w:val="FFFFFF"/>
                <w:sz w:val="18"/>
              </w:rPr>
              <w:t>Rol en el proyecto</w:t>
            </w:r>
          </w:p>
        </w:tc>
        <w:tc>
          <w:tcPr>
            <w:tcW w:type="dxa" w:w="3347"/>
            <w:shd w:fill="0E7C7B"/>
            <w:tcMar>
              <w:top w:w="50" w:type="dxa"/>
              <w:bottom w:w="50" w:type="dxa"/>
              <w:left w:w="80" w:type="dxa"/>
              <w:right w:w="80" w:type="dxa"/>
            </w:tcMar>
          </w:tcPr>
          <w:p>
            <w:r>
              <w:rPr>
                <w:rFonts w:ascii="Arial" w:hAnsi="Arial"/>
                <w:b/>
                <w:color w:val="FFFFFF"/>
                <w:sz w:val="18"/>
              </w:rPr>
              <w:t>Tareas principales asumidas</w:t>
            </w:r>
          </w:p>
        </w:tc>
      </w:tr>
      <w:tr>
        <w:tc>
          <w:tcPr>
            <w:tcW w:type="dxa" w:w="3347"/>
            <w:shd w:fill="F2F5F7"/>
            <w:tcMar>
              <w:top w:w="45" w:type="dxa"/>
              <w:bottom w:w="45" w:type="dxa"/>
              <w:left w:w="80" w:type="dxa"/>
              <w:right w:w="80" w:type="dxa"/>
            </w:tcMar>
          </w:tcPr>
          <w:p>
            <w:r>
              <w:rPr>
                <w:rFonts w:ascii="Arial" w:hAnsi="Arial"/>
                <w:b/>
                <w:sz w:val="17"/>
              </w:rPr>
              <w:t>Alfred Gabriel</w:t>
            </w:r>
          </w:p>
        </w:tc>
        <w:tc>
          <w:tcPr>
            <w:tcW w:type="dxa" w:w="3347"/>
            <w:shd w:fill="F2F5F7"/>
            <w:tcMar>
              <w:top w:w="45" w:type="dxa"/>
              <w:bottom w:w="45" w:type="dxa"/>
              <w:left w:w="80" w:type="dxa"/>
              <w:right w:w="80" w:type="dxa"/>
            </w:tcMar>
          </w:tcPr>
          <w:p>
            <w:r>
              <w:rPr>
                <w:rFonts w:ascii="Arial" w:hAnsi="Arial"/>
                <w:sz w:val="17"/>
              </w:rPr>
              <w:t>Ingeniería de datos y modelado SBD</w:t>
            </w:r>
          </w:p>
        </w:tc>
        <w:tc>
          <w:tcPr>
            <w:tcW w:type="dxa" w:w="3347"/>
            <w:shd w:fill="F2F5F7"/>
            <w:tcMar>
              <w:top w:w="45" w:type="dxa"/>
              <w:bottom w:w="45" w:type="dxa"/>
              <w:left w:w="80" w:type="dxa"/>
              <w:right w:w="80" w:type="dxa"/>
            </w:tcMar>
          </w:tcPr>
          <w:p>
            <w:r>
              <w:rPr>
                <w:rFonts w:ascii="Arial" w:hAnsi="Arial"/>
                <w:sz w:val="17"/>
              </w:rPr>
              <w:t>Pipeline de descarga (descargar_y_limpiar.py), estimación Diff-in-Diff y cuaderno Jupyter zbe_bilbao.ipynb.</w:t>
            </w:r>
          </w:p>
        </w:tc>
      </w:tr>
      <w:tr>
        <w:tc>
          <w:tcPr>
            <w:tcW w:type="dxa" w:w="3347"/>
            <w:shd w:fill="FFFFFF"/>
            <w:tcMar>
              <w:top w:w="45" w:type="dxa"/>
              <w:bottom w:w="45" w:type="dxa"/>
              <w:left w:w="80" w:type="dxa"/>
              <w:right w:w="80" w:type="dxa"/>
            </w:tcMar>
          </w:tcPr>
          <w:p>
            <w:r>
              <w:rPr>
                <w:rFonts w:ascii="Arial" w:hAnsi="Arial"/>
                <w:b/>
                <w:sz w:val="17"/>
              </w:rPr>
              <w:t>Íñigo</w:t>
            </w:r>
          </w:p>
        </w:tc>
        <w:tc>
          <w:tcPr>
            <w:tcW w:type="dxa" w:w="3347"/>
            <w:shd w:fill="FFFFFF"/>
            <w:tcMar>
              <w:top w:w="45" w:type="dxa"/>
              <w:bottom w:w="45" w:type="dxa"/>
              <w:left w:w="80" w:type="dxa"/>
              <w:right w:w="80" w:type="dxa"/>
            </w:tcMar>
          </w:tcPr>
          <w:p>
            <w:r>
              <w:rPr>
                <w:rFonts w:ascii="Arial" w:hAnsi="Arial"/>
                <w:sz w:val="17"/>
              </w:rPr>
              <w:t>Calidad de datos y comunicación ejecutiva</w:t>
            </w:r>
          </w:p>
        </w:tc>
        <w:tc>
          <w:tcPr>
            <w:tcW w:type="dxa" w:w="3347"/>
            <w:shd w:fill="FFFFFF"/>
            <w:tcMar>
              <w:top w:w="45" w:type="dxa"/>
              <w:bottom w:w="45" w:type="dxa"/>
              <w:left w:w="80" w:type="dxa"/>
              <w:right w:w="80" w:type="dxa"/>
            </w:tcMar>
          </w:tcPr>
          <w:p>
            <w:r>
              <w:rPr>
                <w:rFonts w:ascii="Arial" w:hAnsi="Arial"/>
                <w:sz w:val="17"/>
              </w:rPr>
              <w:t>Control de calidad, diseño de figuras (g1 a g10), análisis de aforos y redacción del informe de 4 páginas.</w:t>
            </w:r>
          </w:p>
        </w:tc>
      </w:tr>
      <w:tr>
        <w:tc>
          <w:tcPr>
            <w:tcW w:type="dxa" w:w="3347"/>
            <w:shd w:fill="F2F5F7"/>
            <w:tcMar>
              <w:top w:w="45" w:type="dxa"/>
              <w:bottom w:w="45" w:type="dxa"/>
              <w:left w:w="80" w:type="dxa"/>
              <w:right w:w="80" w:type="dxa"/>
            </w:tcMar>
          </w:tcPr>
          <w:p>
            <w:r>
              <w:rPr>
                <w:rFonts w:ascii="Arial" w:hAnsi="Arial"/>
                <w:b/>
                <w:sz w:val="17"/>
              </w:rPr>
              <w:t>Kerman</w:t>
            </w:r>
          </w:p>
        </w:tc>
        <w:tc>
          <w:tcPr>
            <w:tcW w:type="dxa" w:w="3347"/>
            <w:shd w:fill="F2F5F7"/>
            <w:tcMar>
              <w:top w:w="45" w:type="dxa"/>
              <w:bottom w:w="45" w:type="dxa"/>
              <w:left w:w="80" w:type="dxa"/>
              <w:right w:w="80" w:type="dxa"/>
            </w:tcMar>
          </w:tcPr>
          <w:p>
            <w:r>
              <w:rPr>
                <w:rFonts w:ascii="Arial" w:hAnsi="Arial"/>
                <w:sz w:val="17"/>
              </w:rPr>
              <w:t>Infraestructura BDA y DevOps</w:t>
            </w:r>
          </w:p>
        </w:tc>
        <w:tc>
          <w:tcPr>
            <w:tcW w:type="dxa" w:w="3347"/>
            <w:shd w:fill="F2F5F7"/>
            <w:tcMar>
              <w:top w:w="45" w:type="dxa"/>
              <w:bottom w:w="45" w:type="dxa"/>
              <w:left w:w="80" w:type="dxa"/>
              <w:right w:w="80" w:type="dxa"/>
            </w:tcMar>
          </w:tcPr>
          <w:p>
            <w:r>
              <w:rPr>
                <w:rFonts w:ascii="Arial" w:hAnsi="Arial"/>
                <w:sz w:val="17"/>
              </w:rPr>
              <w:t>Despliegue Docker Compose, buckets y tokens en InfluxDB, flujos Node-RED, servicio MCP y paneles Grafana.</w:t>
            </w:r>
          </w:p>
        </w:tc>
      </w:tr>
    </w:tbl>
    <w:p>
      <w:pPr>
        <w:spacing w:after="80"/>
      </w:pPr>
    </w:p>
    <w:p>
      <w:pPr>
        <w:spacing w:before="80" w:after="40"/>
      </w:pPr>
      <w:r>
        <w:rPr>
          <w:rFonts w:ascii="Arial" w:hAnsi="Arial"/>
          <w:b/>
          <w:color w:val="1F2A44"/>
          <w:sz w:val="21"/>
        </w:rPr>
        <w:t>Checklist de verificación de la rúbrica oficial (SBD / Reto 0)</w:t>
      </w:r>
    </w:p>
    <w:tbl>
      <w:tblPr>
        <w:tblW w:type="auto" w:w="0"/>
        <w:jc w:val="cente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
      <w:tblGrid>
        <w:gridCol w:w="3347"/>
        <w:gridCol w:w="3347"/>
        <w:gridCol w:w="3347"/>
      </w:tblGrid>
      <w:tr>
        <w:tc>
          <w:tcPr>
            <w:tcW w:type="dxa" w:w="3234"/>
            <w:tcMar>
              <w:top w:w="30" w:type="dxa"/>
              <w:bottom w:w="30" w:type="dxa"/>
              <w:left w:w="40" w:type="dxa"/>
              <w:right w:w="40" w:type="dxa"/>
            </w:tcMar>
          </w:tcPr>
          <w:p>
            <w:r>
              <w:rPr>
                <w:rFonts w:ascii="Arial" w:hAnsi="Arial"/>
                <w:b/>
                <w:color w:val="2B2F3A"/>
                <w:sz w:val="17"/>
              </w:rPr>
              <w:t>☑ Contexto y 5 preguntas</w:t>
              <w:tab/>
            </w:r>
            <w:r>
              <w:rPr>
                <w:rFonts w:ascii="Arial" w:hAnsi="Arial"/>
                <w:color w:val="0E7C7B"/>
                <w:sz w:val="16"/>
              </w:rPr>
              <w:t>AP. 1</w:t>
            </w:r>
          </w:p>
        </w:tc>
        <w:tc>
          <w:tcPr>
            <w:tcW w:type="dxa" w:w="3234"/>
            <w:tcMar>
              <w:top w:w="30" w:type="dxa"/>
              <w:bottom w:w="30" w:type="dxa"/>
              <w:left w:w="40" w:type="dxa"/>
              <w:right w:w="40" w:type="dxa"/>
            </w:tcMar>
          </w:tcPr>
          <w:p>
            <w:r>
              <w:rPr>
                <w:rFonts w:ascii="Arial" w:hAnsi="Arial"/>
                <w:b/>
                <w:color w:val="2B2F3A"/>
                <w:sz w:val="17"/>
              </w:rPr>
              <w:t>☑ Fuentes y auditoría calidad</w:t>
              <w:tab/>
            </w:r>
            <w:r>
              <w:rPr>
                <w:rFonts w:ascii="Arial" w:hAnsi="Arial"/>
                <w:color w:val="0E7C7B"/>
                <w:sz w:val="16"/>
              </w:rPr>
              <w:t>AP. 2</w:t>
            </w:r>
          </w:p>
        </w:tc>
        <w:tc>
          <w:tcPr>
            <w:tcW w:type="dxa" w:w="3234"/>
            <w:tcMar>
              <w:top w:w="30" w:type="dxa"/>
              <w:bottom w:w="30" w:type="dxa"/>
              <w:left w:w="40" w:type="dxa"/>
              <w:right w:w="40" w:type="dxa"/>
            </w:tcMar>
          </w:tcPr>
          <w:p>
            <w:r>
              <w:rPr>
                <w:rFonts w:ascii="Arial" w:hAnsi="Arial"/>
                <w:b/>
                <w:color w:val="2B2F3A"/>
                <w:sz w:val="17"/>
              </w:rPr>
              <w:t>☑ Integración y pipeline</w:t>
              <w:tab/>
            </w:r>
            <w:r>
              <w:rPr>
                <w:rFonts w:ascii="Arial" w:hAnsi="Arial"/>
                <w:color w:val="0E7C7B"/>
                <w:sz w:val="16"/>
              </w:rPr>
              <w:t>AP. 3</w:t>
            </w:r>
          </w:p>
        </w:tc>
      </w:tr>
      <w:tr>
        <w:tc>
          <w:tcPr>
            <w:tcW w:type="dxa" w:w="3234"/>
            <w:tcMar>
              <w:top w:w="30" w:type="dxa"/>
              <w:bottom w:w="30" w:type="dxa"/>
              <w:left w:w="40" w:type="dxa"/>
              <w:right w:w="40" w:type="dxa"/>
            </w:tcMar>
          </w:tcPr>
          <w:p>
            <w:r>
              <w:rPr>
                <w:rFonts w:ascii="Arial" w:hAnsi="Arial"/>
                <w:b/>
                <w:color w:val="2B2F3A"/>
                <w:sz w:val="17"/>
              </w:rPr>
              <w:t>☑ Resultados analíticos</w:t>
              <w:tab/>
            </w:r>
            <w:r>
              <w:rPr>
                <w:rFonts w:ascii="Arial" w:hAnsi="Arial"/>
                <w:color w:val="0E7C7B"/>
                <w:sz w:val="16"/>
              </w:rPr>
              <w:t>AP. 4</w:t>
            </w:r>
          </w:p>
        </w:tc>
        <w:tc>
          <w:tcPr>
            <w:tcW w:type="dxa" w:w="3234"/>
            <w:tcMar>
              <w:top w:w="30" w:type="dxa"/>
              <w:bottom w:w="30" w:type="dxa"/>
              <w:left w:w="40" w:type="dxa"/>
              <w:right w:w="40" w:type="dxa"/>
            </w:tcMar>
          </w:tcPr>
          <w:p>
            <w:r>
              <w:rPr>
                <w:rFonts w:ascii="Arial" w:hAnsi="Arial"/>
                <w:b/>
                <w:color w:val="2B2F3A"/>
                <w:sz w:val="17"/>
              </w:rPr>
              <w:t>☑ Figuras con 3 partes</w:t>
              <w:tab/>
            </w:r>
            <w:r>
              <w:rPr>
                <w:rFonts w:ascii="Arial" w:hAnsi="Arial"/>
                <w:color w:val="0E7C7B"/>
                <w:sz w:val="16"/>
              </w:rPr>
              <w:t>AP. 5</w:t>
            </w:r>
          </w:p>
        </w:tc>
        <w:tc>
          <w:tcPr>
            <w:tcW w:type="dxa" w:w="3234"/>
            <w:tcMar>
              <w:top w:w="30" w:type="dxa"/>
              <w:bottom w:w="30" w:type="dxa"/>
              <w:left w:w="40" w:type="dxa"/>
              <w:right w:w="40" w:type="dxa"/>
            </w:tcMar>
          </w:tcPr>
          <w:p>
            <w:r>
              <w:rPr>
                <w:rFonts w:ascii="Arial" w:hAnsi="Arial"/>
                <w:b/>
                <w:color w:val="2B2F3A"/>
                <w:sz w:val="17"/>
              </w:rPr>
              <w:t>☑ Conclusiones y recomendaciones</w:t>
              <w:tab/>
            </w:r>
            <w:r>
              <w:rPr>
                <w:rFonts w:ascii="Arial" w:hAnsi="Arial"/>
                <w:color w:val="0E7C7B"/>
                <w:sz w:val="16"/>
              </w:rPr>
              <w:t>AP. 6</w:t>
            </w:r>
          </w:p>
        </w:tc>
      </w:tr>
      <w:tr>
        <w:tc>
          <w:tcPr>
            <w:tcW w:type="dxa" w:w="3234"/>
            <w:tcMar>
              <w:top w:w="30" w:type="dxa"/>
              <w:bottom w:w="30" w:type="dxa"/>
              <w:left w:w="40" w:type="dxa"/>
              <w:right w:w="40" w:type="dxa"/>
            </w:tcMar>
          </w:tcPr>
          <w:p>
            <w:r>
              <w:rPr>
                <w:rFonts w:ascii="Arial" w:hAnsi="Arial"/>
                <w:b/>
                <w:color w:val="2B2F3A"/>
                <w:sz w:val="17"/>
              </w:rPr>
              <w:t>☑ Justificación herramientas</w:t>
              <w:tab/>
            </w:r>
            <w:r>
              <w:rPr>
                <w:rFonts w:ascii="Arial" w:hAnsi="Arial"/>
                <w:color w:val="0E7C7B"/>
                <w:sz w:val="16"/>
              </w:rPr>
              <w:t>AP. 7</w:t>
            </w:r>
          </w:p>
        </w:tc>
        <w:tc>
          <w:tcPr>
            <w:tcW w:type="dxa" w:w="3234"/>
            <w:tcMar>
              <w:top w:w="30" w:type="dxa"/>
              <w:bottom w:w="30" w:type="dxa"/>
              <w:left w:w="40" w:type="dxa"/>
              <w:right w:w="40" w:type="dxa"/>
            </w:tcMar>
          </w:tcPr>
          <w:p>
            <w:r>
              <w:rPr>
                <w:rFonts w:ascii="Arial" w:hAnsi="Arial"/>
                <w:b/>
                <w:color w:val="2B2F3A"/>
                <w:sz w:val="17"/>
              </w:rPr>
              <w:t>☑ Matriz RACI y Scrum</w:t>
              <w:tab/>
            </w:r>
            <w:r>
              <w:rPr>
                <w:rFonts w:ascii="Arial" w:hAnsi="Arial"/>
                <w:color w:val="0E7C7B"/>
                <w:sz w:val="16"/>
              </w:rPr>
              <w:t>AP. 8</w:t>
            </w:r>
          </w:p>
        </w:tc>
        <w:tc>
          <w:tcPr>
            <w:tcW w:type="dxa" w:w="3234"/>
            <w:tcMar>
              <w:top w:w="30" w:type="dxa"/>
              <w:bottom w:w="30" w:type="dxa"/>
              <w:left w:w="40" w:type="dxa"/>
              <w:right w:w="40" w:type="dxa"/>
            </w:tcMar>
          </w:tcPr>
          <w:p>
            <w:r>
              <w:rPr>
                <w:rFonts w:ascii="Arial" w:hAnsi="Arial"/>
                <w:b/>
                <w:color w:val="2B2F3A"/>
                <w:sz w:val="17"/>
              </w:rPr>
              <w:t>☑ Servicio MCP integrado</w:t>
              <w:tab/>
            </w:r>
            <w:r>
              <w:rPr>
                <w:rFonts w:ascii="Arial" w:hAnsi="Arial"/>
                <w:color w:val="0E7C7B"/>
                <w:sz w:val="16"/>
              </w:rPr>
              <w:t>AP. 7</w:t>
            </w:r>
          </w:p>
        </w:tc>
      </w:tr>
    </w:tbl>
    <w:p>
      <w:pPr>
        <w:spacing w:before="120" w:after="40"/>
      </w:pPr>
      <w:r>
        <w:rPr>
          <w:rFonts w:ascii="Arial" w:hAnsi="Arial"/>
          <w:b/>
          <w:color w:val="1F2A44"/>
          <w:sz w:val="22"/>
        </w:rPr>
        <w:t>Conclusión</w:t>
      </w:r>
    </w:p>
    <w:p>
      <w:r>
        <w:t>El análisis econométrico multivariable demuestra con rigor estadístico que la ZBE de Bilbao ha alcanzado un impacto neto atribuible de -1,63 µg/m³ en la concentración interior de NO2 (-6,4% respecto a la base pre-ZBE). El sistema integrado (ETL en Pandas, series en InfluxDB, monitorización en Grafana e interfaz MCP de solo lectura) garantiza la reproducibilidad completa del estudio, facilitando que el Ayuntamiento de Bilbao base sus decisiones de movilidad en evidencias empíricas continuas, transparentes y moderadas.</w:t>
      </w:r>
    </w:p>
    <w:p>
      <w:pPr>
        <w:spacing w:before="80" w:after="40"/>
      </w:pPr>
      <w:r>
        <w:rPr>
          <w:rFonts w:ascii="Arial" w:hAnsi="Arial"/>
          <w:b/>
          <w:color w:val="1F2A44"/>
          <w:sz w:val="22"/>
        </w:rPr>
        <w:t>Referencias</w:t>
      </w:r>
    </w:p>
    <w:p>
      <w:r>
        <w:rPr>
          <w:rFonts w:ascii="Arial" w:hAnsi="Arial"/>
          <w:color w:val="44546A"/>
          <w:sz w:val="17"/>
        </w:rPr>
        <w:t>1. Grange, S. K., &amp; Carslaw, D. C. (2019). Using meteorological normalisation to detect interventions in air quality time series. Science of the Total Environment, 653, 578–588.</w:t>
      </w:r>
    </w:p>
    <w:p>
      <w:r>
        <w:rPr>
          <w:rFonts w:ascii="Arial" w:hAnsi="Arial"/>
          <w:color w:val="44546A"/>
          <w:sz w:val="17"/>
        </w:rPr>
        <w:t>2. Angrist, J. D., &amp; Pischke, J. S. (2009). Mostly Harmless Econometrics: An Empiricist's Companion. Princeton University Press.</w:t>
      </w:r>
    </w:p>
    <w:sectPr w:rsidR="00FC693F" w:rsidRPr="0006063C" w:rsidSect="00034616">
      <w:headerReference w:type="default" r:id="rId9"/>
      <w:footerReference w:type="default" r:id="rId10"/>
      <w:pgSz w:w="12240" w:h="15840"/>
      <w:pgMar w:top="1100" w:right="1100" w:bottom="1100"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44546A"/>
        <w:sz w:val="16"/>
      </w:rPr>
      <w:t xml:space="preserve">Página </w:t>
    </w:r>
    <w:fldSimple w:instr="PAGE"/>
    <w:r>
      <w:rPr>
        <w:rFonts w:ascii="Arial" w:hAnsi="Arial"/>
        <w:color w:val="44546A"/>
        <w:sz w:val="16"/>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0E7C7B" w:sz="6" w:space="4"/>
      </w:pBdr>
      <w:tabs>
        <w:tab w:val="right" w:pos="9706"/>
      </w:tabs>
    </w:pPr>
    <w:r/>
    <w:r>
      <w:rPr>
        <w:rFonts w:ascii="Arial" w:hAnsi="Arial"/>
        <w:color w:val="44546A"/>
        <w:sz w:val="15"/>
      </w:rPr>
      <w:t>Curso de Especialización en Inteligencia Artificial y Big Data</w:t>
    </w:r>
    <w:r>
      <w:rPr>
        <w:rFonts w:ascii="Arial" w:hAnsi="Arial"/>
        <w:color w:val="44546A"/>
        <w:sz w:val="15"/>
      </w:rPr>
      <w:tab/>
      <w:t>Haizen Lab · SBD · Reto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B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