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Documentación de Big Data Aplicado (BDA): ventas de farmacias europeas</w:t>
      </w:r>
    </w:p>
    <w:p>
      <w:pPr/>
      <w:r>
        <w:rPr>
          <w:i/>
        </w:rPr>
        <w:t xml:space="preserve">Reto del ciclo de IA y Big Data · Parte «Big Data Aplicado»</w:t>
      </w:r>
    </w:p>
    <w:p>
      <w:pPr>
        <w:pStyle w:val="Heading2"/>
      </w:pPr>
      <w:r>
        <w:t xml:space="preserve">Contexto y objetivo</w:t>
      </w:r>
    </w:p>
    <w:p>
      <w:pPr/>
      <w:r>
        <w:t xml:space="preserve">Esta documentación recoge el trabajo realizado en la parte «Big Data Aplicado» (BDA) del reto. Se parte del dataset sintético </w:t>
      </w:r>
      <w:r>
        <w:rPr>
          <w:b/>
        </w:rPr>
        <w:t xml:space="preserve">European Pharmacy Sales</w:t>
      </w:r>
      <w:r>
        <w:t xml:space="preserve"> (Kaggle, licencia MIT), un libro de Excel con cuatro hojas organizadas en estrella: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Hoja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Contenido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FactSales</w:t>
            </w:r>
          </w:p>
        </w:tc>
        <w:tc>
          <w:tcPr>
            <w:tcW w:w="4680" w:type="dxa"/>
          </w:tcPr>
          <w:p>
            <w:pPr/>
            <w:r>
              <w:t xml:space="preserve">62.139 ventas (2024-2025)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DimDate</w:t>
            </w:r>
          </w:p>
        </w:tc>
        <w:tc>
          <w:tcPr>
            <w:tcW w:w="4680" w:type="dxa"/>
          </w:tcPr>
          <w:p>
            <w:pPr/>
            <w:r>
              <w:t xml:space="preserve">731 fechas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DimPharmacy</w:t>
            </w:r>
          </w:p>
        </w:tc>
        <w:tc>
          <w:tcPr>
            <w:tcW w:w="4680" w:type="dxa"/>
          </w:tcPr>
          <w:p>
            <w:pPr/>
            <w:r>
              <w:t xml:space="preserve">120 farmacias de 8 países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DimProduct</w:t>
            </w:r>
          </w:p>
        </w:tc>
        <w:tc>
          <w:tcPr>
            <w:tcW w:w="4680" w:type="dxa"/>
          </w:tcPr>
          <w:p>
            <w:pPr/>
            <w:r>
              <w:t xml:space="preserve">220 productos en 5 categorías</w:t>
            </w:r>
          </w:p>
        </w:tc>
      </w:tr>
    </w:tbl>
    <w:p>
      <w:pPr/>
      <w:r>
        <w:t xml:space="preserve">El caso es el mismo que el del informe SBD y sus tres preguntas guían los dashboards:</w:t>
      </w:r>
    </w:p>
    <w:p>
      <w:pPr>
        <w:pStyle w:val="ListParagraph"/>
        <w:numPr>
          <w:ilvl w:val="0"/>
          <w:numId w:val="2"/>
        </w:numPr>
      </w:pPr>
      <w:r>
        <w:t xml:space="preserve">¿Qué países y categorías generan más ingresos y margen?</w:t>
      </w:r>
    </w:p>
    <w:p>
      <w:pPr>
        <w:pStyle w:val="ListParagraph"/>
        <w:numPr>
          <w:ilvl w:val="0"/>
          <w:numId w:val="2"/>
        </w:numPr>
      </w:pPr>
      <w:r>
        <w:t xml:space="preserve">¿Cómo evolucionan las ventas mes a mes?</w:t>
      </w:r>
    </w:p>
    <w:p>
      <w:pPr>
        <w:pStyle w:val="ListParagraph"/>
        <w:numPr>
          <w:ilvl w:val="0"/>
          <w:numId w:val="2"/>
        </w:numPr>
      </w:pPr>
      <w:r>
        <w:t xml:space="preserve">¿Cuál es el efecto de las promociones?</w:t>
      </w:r>
    </w:p>
    <w:p>
      <w:pPr/>
      <w:r>
        <w:rPr>
          <w:b/>
        </w:rPr>
        <w:t xml:space="preserve">Objetivo:</w:t>
      </w:r>
      <w:r>
        <w:t xml:space="preserve"> preparar los datos con pandas, cargarlos como series temporales en InfluxDB mediante Node-RED, y visualizarlos y monitorizarlos con dashboards y alertas en Grafana para responder a esas tres preguntas.</w:t>
      </w:r>
    </w:p>
    <w:p>
      <w:pPr/>
      <w:r>
        <w:rPr>
          <w:b/>
        </w:rPr>
        <w:t xml:space="preserve">Entorno de trabajo</w:t>
      </w:r>
    </w:p>
    <w:p>
      <w:pPr>
        <w:pStyle w:val="ListParagraph"/>
        <w:numPr>
          <w:ilvl w:val="0"/>
          <w:numId w:val="3"/>
        </w:numPr>
      </w:pPr>
      <w:r>
        <w:t xml:space="preserve">Windows con WSL2 (Ubuntu 24.04).</w:t>
      </w:r>
    </w:p>
    <w:p>
      <w:pPr>
        <w:pStyle w:val="ListParagraph"/>
        <w:numPr>
          <w:ilvl w:val="0"/>
          <w:numId w:val="3"/>
        </w:numPr>
      </w:pPr>
      <w:r>
        <w:t xml:space="preserve">InfluxDB 2.x en </w:t>
      </w:r>
      <w:r>
        <w:rPr>
          <w:rStyle w:val="CodeChar"/>
        </w:rPr>
        <w:t xml:space="preserve">localhost:8086</w:t>
      </w:r>
      <w:r>
        <w:t xml:space="preserve">. Organización: </w:t>
      </w:r>
      <w:r>
        <w:rPr>
          <w:rStyle w:val="CodeChar"/>
        </w:rPr>
        <w:t xml:space="preserve">somorrostro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Grafana en el puerto 3000.</w:t>
      </w:r>
    </w:p>
    <w:p>
      <w:pPr>
        <w:pStyle w:val="ListParagraph"/>
        <w:numPr>
          <w:ilvl w:val="0"/>
          <w:numId w:val="3"/>
        </w:numPr>
      </w:pPr>
      <w:r>
        <w:t xml:space="preserve">Node-RED en el puerto 1880 (corre en Ubuntu).</w:t>
      </w:r>
    </w:p>
    <w:p>
      <w:pPr>
        <w:pStyle w:val="ListParagraph"/>
        <w:numPr>
          <w:ilvl w:val="0"/>
          <w:numId w:val="3"/>
        </w:numPr>
      </w:pPr>
      <w:r>
        <w:t xml:space="preserve">[PENDIENTE: pasar todo a Docker Compose]</w:t>
      </w:r>
    </w:p>
    <w:p>
      <w:pPr>
        <w:pStyle w:val="Heading2"/>
      </w:pPr>
      <w:r>
        <w:t xml:space="preserve">1) Manipulación y análisis de datos</w:t>
      </w:r>
    </w:p>
    <w:p>
      <w:pPr>
        <w:pStyle w:val="Heading3"/>
      </w:pPr>
      <w:r>
        <w:t xml:space="preserve">Preparación con pandas</w:t>
      </w:r>
    </w:p>
    <w:p>
      <w:pPr/>
      <w:r>
        <w:t xml:space="preserve">El notebook </w:t>
      </w:r>
      <w:r>
        <w:rPr>
          <w:rStyle w:val="CodeChar"/>
        </w:rPr>
        <w:t xml:space="preserve">Preparar_datos_influxdb.ipynb</w:t>
      </w:r>
      <w:r>
        <w:t xml:space="preserve"> realiza los siguientes pasos:</w:t>
      </w:r>
    </w:p>
    <w:p>
      <w:pPr>
        <w:pStyle w:val="ListParagraph"/>
        <w:numPr>
          <w:ilvl w:val="0"/>
          <w:numId w:val="4"/>
        </w:numPr>
      </w:pPr>
      <w:r>
        <w:t xml:space="preserve">Carga las hojas del Excel.</w:t>
      </w:r>
    </w:p>
    <w:p>
      <w:pPr>
        <w:pStyle w:val="ListParagraph"/>
        <w:numPr>
          <w:ilvl w:val="0"/>
          <w:numId w:val="4"/>
        </w:numPr>
      </w:pPr>
      <w:r>
        <w:t xml:space="preserve">Une FactSales con DimPharmacy (para obtener </w:t>
      </w:r>
      <w:r>
        <w:rPr>
          <w:rStyle w:val="CodeChar"/>
        </w:rPr>
        <w:t xml:space="preserve">Country</w:t>
      </w:r>
      <w:r>
        <w:t xml:space="preserve">) y con DimProduct (para obtener </w:t>
      </w:r>
      <w:r>
        <w:rPr>
          <w:rStyle w:val="CodeChar"/>
        </w:rPr>
        <w:t xml:space="preserve">Category</w:t>
      </w:r>
      <w:r>
        <w:t xml:space="preserve">), usando </w:t>
      </w:r>
      <w:r>
        <w:rPr>
          <w:rStyle w:val="CodeChar"/>
        </w:rPr>
        <w:t xml:space="preserve">validate="many_to_one"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Crea la columna </w:t>
      </w:r>
      <w:r>
        <w:rPr>
          <w:rStyle w:val="CodeChar"/>
        </w:rPr>
        <w:t xml:space="preserve">Fecha</w:t>
      </w:r>
      <w:r>
        <w:t xml:space="preserve"> en UTC a partir de </w:t>
      </w:r>
      <w:r>
        <w:rPr>
          <w:rStyle w:val="CodeChar"/>
        </w:rPr>
        <w:t xml:space="preserve">DateKey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Agrega por </w:t>
      </w:r>
      <w:r>
        <w:rPr>
          <w:rStyle w:val="CodeChar"/>
        </w:rPr>
        <w:t xml:space="preserve">Fecha</w:t>
      </w:r>
      <w:r>
        <w:t xml:space="preserve">, </w:t>
      </w:r>
      <w:r>
        <w:rPr>
          <w:rStyle w:val="CodeChar"/>
        </w:rPr>
        <w:t xml:space="preserve">Country</w:t>
      </w:r>
      <w:r>
        <w:t xml:space="preserve">, </w:t>
      </w:r>
      <w:r>
        <w:rPr>
          <w:rStyle w:val="CodeChar"/>
        </w:rPr>
        <w:t xml:space="preserve">Category</w:t>
      </w:r>
      <w:r>
        <w:t xml:space="preserve"> y </w:t>
      </w:r>
      <w:r>
        <w:rPr>
          <w:rStyle w:val="CodeChar"/>
        </w:rPr>
        <w:t xml:space="preserve">PromoFlag</w:t>
      </w:r>
      <w:r>
        <w:t xml:space="preserve">, sumando </w:t>
      </w:r>
      <w:r>
        <w:rPr>
          <w:rStyle w:val="CodeChar"/>
        </w:rPr>
        <w:t xml:space="preserve">ventas</w:t>
      </w:r>
      <w:r>
        <w:t xml:space="preserve">, </w:t>
      </w:r>
      <w:r>
        <w:rPr>
          <w:rStyle w:val="CodeChar"/>
        </w:rPr>
        <w:t xml:space="preserve">unidades</w:t>
      </w:r>
      <w:r>
        <w:t xml:space="preserve">, </w:t>
      </w:r>
      <w:r>
        <w:rPr>
          <w:rStyle w:val="CodeChar"/>
        </w:rPr>
        <w:t xml:space="preserve">ingresos_eur</w:t>
      </w:r>
      <w:r>
        <w:t xml:space="preserve">, </w:t>
      </w:r>
      <w:r>
        <w:rPr>
          <w:rStyle w:val="CodeChar"/>
        </w:rPr>
        <w:t xml:space="preserve">costes_eur</w:t>
      </w:r>
      <w:r>
        <w:t xml:space="preserve"> y </w:t>
      </w:r>
      <w:r>
        <w:rPr>
          <w:rStyle w:val="CodeChar"/>
        </w:rPr>
        <w:t xml:space="preserve">margen_eur</w:t>
      </w:r>
      <w:r>
        <w:t xml:space="preserve">.</w:t>
      </w:r>
    </w:p>
    <w:p>
      <w:pPr/>
      <w:r>
        <w:t xml:space="preserve">La agregación es necesaria porque en InfluxDB un punto con el mismo measurement, los mismos tags y el mismo timestamp se sobrescribe.</w:t>
      </w:r>
    </w:p>
    <w:p>
      <w:pPr>
        <w:pStyle w:val="Heading3"/>
      </w:pPr>
      <w:r>
        <w:t xml:space="preserve">Resultado y comprobaciones</w:t>
      </w:r>
    </w:p>
    <w:p>
      <w:pPr/>
      <w:r>
        <w:t xml:space="preserve">Se generan dos ficheros: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ventas_diarias.csv</w:t>
      </w:r>
      <w:r>
        <w:t xml:space="preserve">: 29.435 filas.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ventas_mensuales.csv</w:t>
      </w:r>
      <w:r>
        <w:t xml:space="preserve">: 1.908 filas.</w:t>
      </w:r>
    </w:p>
    <w:p>
      <w:pPr/>
      <w:r>
        <w:t xml:space="preserve">Comprobaciones realizadas: duplicados = 0, nulos = 0 y totales iguales a los del original.</w:t>
      </w:r>
    </w:p>
    <w:p>
      <w:pPr>
        <w:pStyle w:val="Heading3"/>
      </w:pPr>
      <w:r>
        <w:t xml:space="preserve">Carga con Node-RED</w:t>
      </w:r>
    </w:p>
    <w:p>
      <w:pPr/>
      <w:r>
        <w:t xml:space="preserve">El flujo de Node-RED sigue esta cadena de nodos: </w:t>
      </w:r>
      <w:r>
        <w:rPr>
          <w:i/>
        </w:rPr>
        <w:t xml:space="preserve">inject → file in → csv → function → influxdb batch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La función convierte cada fila en un punto con measurement </w:t>
      </w:r>
      <w:r>
        <w:rPr>
          <w:rStyle w:val="CodeChar"/>
        </w:rPr>
        <w:t xml:space="preserve">ventas</w:t>
      </w:r>
      <w:r>
        <w:t xml:space="preserve">, los tags </w:t>
      </w:r>
      <w:r>
        <w:rPr>
          <w:rStyle w:val="CodeChar"/>
        </w:rPr>
        <w:t xml:space="preserve">Country</w:t>
      </w:r>
      <w:r>
        <w:t xml:space="preserve">, </w:t>
      </w:r>
      <w:r>
        <w:rPr>
          <w:rStyle w:val="CodeChar"/>
        </w:rPr>
        <w:t xml:space="preserve">Category</w:t>
      </w:r>
      <w:r>
        <w:t xml:space="preserve"> y </w:t>
      </w:r>
      <w:r>
        <w:rPr>
          <w:rStyle w:val="CodeChar"/>
        </w:rPr>
        <w:t xml:space="preserve">PromoFlag</w:t>
      </w:r>
      <w:r>
        <w:t xml:space="preserve"> como texto, los fields numéricos y el timestamp en milisegundos a partir de la columna </w:t>
      </w:r>
      <w:r>
        <w:rPr>
          <w:rStyle w:val="CodeChar"/>
        </w:rPr>
        <w:t xml:space="preserve">Fecha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Se usa el nodo </w:t>
      </w:r>
      <w:r>
        <w:rPr>
          <w:rStyle w:val="CodeChar"/>
        </w:rPr>
        <w:t xml:space="preserve">influxdb batch</w:t>
      </w:r>
      <w:r>
        <w:t xml:space="preserve"> porque </w:t>
      </w:r>
      <w:r>
        <w:rPr>
          <w:rStyle w:val="CodeChar"/>
        </w:rPr>
        <w:t xml:space="preserve">influxdb out</w:t>
      </w:r>
      <w:r>
        <w:t xml:space="preserve"> devolvía el error «invalid boolean» al recibir una lista de puntos.</w:t>
      </w:r>
    </w:p>
    <w:p>
      <w:pPr>
        <w:pStyle w:val="ListParagraph"/>
        <w:numPr>
          <w:ilvl w:val="0"/>
          <w:numId w:val="6"/>
        </w:numPr>
      </w:pPr>
      <w:r>
        <w:t xml:space="preserve">El nodo muestra un contador de filas enviadas.</w:t>
      </w:r>
    </w:p>
    <w:p>
      <w:pPr>
        <w:pStyle w:val="ListParagraph"/>
        <w:numPr>
          <w:ilvl w:val="0"/>
          <w:numId w:val="6"/>
        </w:numPr>
      </w:pPr>
      <w:r>
        <w:t xml:space="preserve">La carga directa desde Jupyter a InfluxDB se eliminó: </w:t>
      </w:r>
      <w:r>
        <w:rPr>
          <w:b/>
        </w:rPr>
        <w:t xml:space="preserve">solo sube Node-RED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Cadencia de tiempo: [PENDIENTE/CONFIRMAR: indicar si el flujo oficial lleva un nodo delay que reproduce un día cada N segundos; durante las pruebas se quitó]</w:t>
      </w:r>
    </w:p>
    <w:p>
      <w:pPr>
        <w:pStyle w:val="Heading3"/>
      </w:pPr>
      <w:r>
        <w:t xml:space="preserve">Datos simulados de 2026</w:t>
      </w:r>
    </w:p>
    <w:p>
      <w:pPr/>
      <w:r>
        <w:t xml:space="preserve">Para probar las alertas se generaron datos simulados de 2026, que </w:t>
      </w:r>
      <w:r>
        <w:rPr>
          <w:b/>
        </w:rPr>
        <w:t xml:space="preserve">deben declararse como simulados</w:t>
      </w:r>
      <w:r>
        <w:t xml:space="preserve"> en cualquier uso o presentación:</w:t>
      </w:r>
    </w:p>
    <w:p>
      <w:pPr>
        <w:pStyle w:val="ListParagraph"/>
        <w:numPr>
          <w:ilvl w:val="0"/>
          <w:numId w:val="7"/>
        </w:numPr>
      </w:pPr>
      <w:r>
        <w:t xml:space="preserve">Se copió 2025 sumando un año.</w:t>
      </w:r>
    </w:p>
    <w:p>
      <w:pPr>
        <w:pStyle w:val="ListParagraph"/>
        <w:numPr>
          <w:ilvl w:val="0"/>
          <w:numId w:val="7"/>
        </w:numPr>
      </w:pPr>
      <w:r>
        <w:t xml:space="preserve">Se añadió ruido gaussiano del 10 % (semilla 42) y anomalías en el 2 % de las filas.</w:t>
      </w:r>
    </w:p>
    <w:p>
      <w:pPr>
        <w:pStyle w:val="ListParagraph"/>
        <w:numPr>
          <w:ilvl w:val="0"/>
          <w:numId w:val="7"/>
        </w:numPr>
      </w:pPr>
      <w:r>
        <w:t xml:space="preserve">El margen se recalculó.</w:t>
      </w:r>
    </w:p>
    <w:p>
      <w:pPr>
        <w:pStyle w:val="ListParagraph"/>
        <w:numPr>
          <w:ilvl w:val="0"/>
          <w:numId w:val="7"/>
        </w:numPr>
      </w:pPr>
      <w:r>
        <w:t xml:space="preserve">Resultado: 14.807 filas, del 2026-01-01 al 2026-12-31, cargadas únicamente en el bucket </w:t>
      </w:r>
      <w:r>
        <w:rPr>
          <w:rStyle w:val="CodeChar"/>
        </w:rPr>
        <w:t xml:space="preserve">ventas_diarias</w:t>
      </w:r>
      <w:r>
        <w:t xml:space="preserve">.</w:t>
      </w:r>
    </w:p>
    <w:p>
      <w:pPr>
        <w:pStyle w:val="Heading2"/>
      </w:pPr>
      <w:r>
        <w:t xml:space="preserve">2) Gestión de series temporales (InfluxDB)</w:t>
      </w:r>
    </w:p>
    <w:p>
      <w:pPr>
        <w:pStyle w:val="Heading3"/>
      </w:pPr>
      <w:r>
        <w:t xml:space="preserve">Buckets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Bucket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Retención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ventas_diarias</w:t>
            </w:r>
          </w:p>
        </w:tc>
        <w:tc>
          <w:tcPr>
            <w:tcW w:w="3120" w:type="dxa"/>
          </w:tcPr>
          <w:p>
            <w:pPr/>
            <w:r>
              <w:t xml:space="preserve">Detalle y alertas (incluye 2026 simulado)</w:t>
            </w:r>
          </w:p>
        </w:tc>
        <w:tc>
          <w:tcPr>
            <w:tcW w:w="3120" w:type="dxa"/>
          </w:tcPr>
          <w:p>
            <w:pPr/>
            <w:r>
              <w:t xml:space="preserve">Sin límite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ventas_mensuales</w:t>
            </w:r>
          </w:p>
        </w:tc>
        <w:tc>
          <w:tcPr>
            <w:tcW w:w="3120" w:type="dxa"/>
          </w:tcPr>
          <w:p>
            <w:pPr/>
            <w:r>
              <w:t xml:space="preserve">Tendencias</w:t>
            </w:r>
          </w:p>
        </w:tc>
        <w:tc>
          <w:tcPr>
            <w:tcW w:w="3120" w:type="dxa"/>
          </w:tcPr>
          <w:p>
            <w:pPr/>
            <w:r>
              <w:t xml:space="preserve">Sin límite</w:t>
            </w:r>
          </w:p>
        </w:tc>
      </w:tr>
    </w:tbl>
    <w:p>
      <w:pPr>
        <w:pStyle w:val="Heading3"/>
      </w:pPr>
      <w:r>
        <w:t xml:space="preserve">Modelo de datos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Measurement:</w:t>
      </w:r>
      <w:r>
        <w:t xml:space="preserve"> </w:t>
      </w:r>
      <w:r>
        <w:rPr>
          <w:rStyle w:val="CodeChar"/>
        </w:rPr>
        <w:t xml:space="preserve">ventas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Tags:</w:t>
      </w:r>
      <w:r>
        <w:t xml:space="preserve"> </w:t>
      </w:r>
      <w:r>
        <w:rPr>
          <w:rStyle w:val="CodeChar"/>
        </w:rPr>
        <w:t xml:space="preserve">Country</w:t>
      </w:r>
      <w:r>
        <w:t xml:space="preserve">, </w:t>
      </w:r>
      <w:r>
        <w:rPr>
          <w:rStyle w:val="CodeChar"/>
        </w:rPr>
        <w:t xml:space="preserve">Category</w:t>
      </w:r>
      <w:r>
        <w:t xml:space="preserve">, </w:t>
      </w:r>
      <w:r>
        <w:rPr>
          <w:rStyle w:val="CodeChar"/>
        </w:rPr>
        <w:t xml:space="preserve">PromoFlag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Fields:</w:t>
      </w:r>
      <w:r>
        <w:t xml:space="preserve"> </w:t>
      </w:r>
      <w:r>
        <w:rPr>
          <w:rStyle w:val="CodeChar"/>
        </w:rPr>
        <w:t xml:space="preserve">ventas</w:t>
      </w:r>
      <w:r>
        <w:t xml:space="preserve">, </w:t>
      </w:r>
      <w:r>
        <w:rPr>
          <w:rStyle w:val="CodeChar"/>
        </w:rPr>
        <w:t xml:space="preserve">unidades</w:t>
      </w:r>
      <w:r>
        <w:t xml:space="preserve">, </w:t>
      </w:r>
      <w:r>
        <w:rPr>
          <w:rStyle w:val="CodeChar"/>
        </w:rPr>
        <w:t xml:space="preserve">ingresos_eur</w:t>
      </w:r>
      <w:r>
        <w:t xml:space="preserve">, </w:t>
      </w:r>
      <w:r>
        <w:rPr>
          <w:rStyle w:val="CodeChar"/>
        </w:rPr>
        <w:t xml:space="preserve">costes_eur</w:t>
      </w:r>
      <w:r>
        <w:t xml:space="preserve">, </w:t>
      </w:r>
      <w:r>
        <w:rPr>
          <w:rStyle w:val="CodeChar"/>
        </w:rPr>
        <w:t xml:space="preserve">margen_eur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Time:</w:t>
      </w:r>
      <w:r>
        <w:t xml:space="preserve"> fecha en UTC (el día, o el primer día del mes en el bucket mensual).</w:t>
      </w:r>
    </w:p>
    <w:p>
      <w:pPr/>
      <w:r>
        <w:t xml:space="preserve">Estructura jerárquica: organización → 2 buckets → measurement → 3 tags + 5 fields.</w:t>
      </w:r>
    </w:p>
    <w:p>
      <w:pPr/>
      <w:r>
        <w:t xml:space="preserve">[CAPTURA: organigrama de InfluxDB con la organización somorrostro, los dos buckets, el measurement ventas, los 3 tags y los 5 fields]</w:t>
      </w:r>
    </w:p>
    <w:p>
      <w:pPr>
        <w:pStyle w:val="Heading3"/>
      </w:pPr>
      <w:r>
        <w:t xml:space="preserve">Verificaciones en InfluxDB</w:t>
      </w:r>
    </w:p>
    <w:p>
      <w:pPr>
        <w:pStyle w:val="ListParagraph"/>
        <w:numPr>
          <w:ilvl w:val="0"/>
          <w:numId w:val="9"/>
        </w:numPr>
      </w:pPr>
      <w:r>
        <w:t xml:space="preserve">29.435 puntos de 2024-2025.</w:t>
      </w:r>
    </w:p>
    <w:p>
      <w:pPr>
        <w:pStyle w:val="ListParagraph"/>
        <w:numPr>
          <w:ilvl w:val="0"/>
          <w:numId w:val="9"/>
        </w:numPr>
      </w:pPr>
      <w:r>
        <w:t xml:space="preserve">Suma de ingresos: 8.633.977,31 EUR.</w:t>
      </w:r>
    </w:p>
    <w:p>
      <w:pPr>
        <w:pStyle w:val="ListParagraph"/>
        <w:numPr>
          <w:ilvl w:val="0"/>
          <w:numId w:val="9"/>
        </w:numPr>
      </w:pPr>
      <w:r>
        <w:t xml:space="preserve">Ambos valores coinciden con el informe SBD.</w:t>
      </w:r>
    </w:p>
    <w:p>
      <w:pPr>
        <w:pStyle w:val="Heading3"/>
      </w:pPr>
      <w:r>
        <w:t xml:space="preserve">Tokens</w:t>
      </w:r>
    </w:p>
    <w:p>
      <w:pPr/>
      <w:r>
        <w:t xml:space="preserve">[PENDIENTE/CONFIRMAR: un token de escritura para Node-RED y otro de solo lectura para Grafana; indicar el estado real]</w:t>
      </w:r>
    </w:p>
    <w:p>
      <w:pPr/>
      <w:r>
        <w:t xml:space="preserve">Por seguridad, esta documentación no incluye ningún token ni contraseña.</w:t>
      </w:r>
    </w:p>
    <w:p>
      <w:pPr>
        <w:pStyle w:val="Heading2"/>
      </w:pPr>
      <w:r>
        <w:t xml:space="preserve">3) Visualización y monitorización (Grafana)</w:t>
      </w:r>
    </w:p>
    <w:p>
      <w:pPr>
        <w:pStyle w:val="Heading3"/>
      </w:pPr>
      <w:r>
        <w:t xml:space="preserve">Fuente de datos</w:t>
      </w:r>
    </w:p>
    <w:p>
      <w:pPr/>
      <w:r>
        <w:t xml:space="preserve">La fuente de datos es </w:t>
      </w:r>
      <w:r>
        <w:rPr>
          <w:rStyle w:val="CodeChar"/>
        </w:rPr>
        <w:t xml:space="preserve">ds-influx</w:t>
      </w:r>
      <w:r>
        <w:t xml:space="preserve">, con lenguaje Flux y organización </w:t>
      </w:r>
      <w:r>
        <w:rPr>
          <w:rStyle w:val="CodeChar"/>
        </w:rPr>
        <w:t xml:space="preserve">somorrostro</w:t>
      </w:r>
      <w:r>
        <w:t xml:space="preserve">. El margen porcentual se calcula en la propia consulta (</w:t>
      </w:r>
      <w:r>
        <w:rPr>
          <w:rStyle w:val="CodeChar"/>
        </w:rPr>
        <w:t xml:space="preserve">margen_eur / ingresos_eur</w:t>
      </w:r>
      <w:r>
        <w:t xml:space="preserve">). Las consultas usan fechas absolutas (2024-01-01 a 2026-01-01) porque los datos son históricos.</w:t>
      </w:r>
    </w:p>
    <w:p>
      <w:pPr>
        <w:pStyle w:val="Heading3"/>
      </w:pPr>
      <w:r>
        <w:t xml:space="preserve">Dashboards</w:t>
      </w:r>
    </w:p>
    <w:p>
      <w:pPr/>
      <w:r>
        <w:t xml:space="preserve">Se han creado 3 dashboards con 8 paneles y 7 tipos de visualización: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Dashboard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Paneles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1. Países y categorías</w:t>
            </w:r>
          </w:p>
        </w:tc>
        <w:tc>
          <w:tcPr>
            <w:tcW w:w="4680" w:type="dxa"/>
          </w:tcPr>
          <w:p>
            <w:pPr/>
            <w:r>
              <w:t xml:space="preserve">Bar chart de ingresos por país; pie chart de ingresos por categoría; bar gauge de margen % por categoría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2. Evolución mensual</w:t>
            </w:r>
          </w:p>
        </w:tc>
        <w:tc>
          <w:tcPr>
            <w:tcW w:w="4680" w:type="dxa"/>
          </w:tcPr>
          <w:p>
            <w:pPr/>
            <w:r>
              <w:t xml:space="preserve">Time series; stat; table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3. Promociones</w:t>
            </w:r>
          </w:p>
        </w:tc>
        <w:tc>
          <w:tcPr>
            <w:tcW w:w="4680" w:type="dxa"/>
          </w:tcPr>
          <w:p>
            <w:pPr/>
            <w:r>
              <w:t xml:space="preserve">Bar chart de margen % con y sin promoción; gauge de margen % en promoción</w:t>
            </w:r>
          </w:p>
        </w:tc>
      </w:tr>
    </w:tbl>
    <w:p>
      <w:pPr/>
      <w:r>
        <w:t xml:space="preserve">[CAPTURA: dashboard 1, Países y categorías]</w:t>
      </w:r>
    </w:p>
    <w:p>
      <w:pPr/>
      <w:r>
        <w:t xml:space="preserve">[CAPTURA: dashboard 2, Evolución mensual]</w:t>
      </w:r>
    </w:p>
    <w:p>
      <w:pPr/>
      <w:r>
        <w:t xml:space="preserve">[CAPTURA: dashboard 3, Promociones]</w:t>
      </w:r>
    </w:p>
    <w:p>
      <w:pPr>
        <w:pStyle w:val="Heading3"/>
      </w:pPr>
      <w:r>
        <w:t xml:space="preserve">Resultados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Países:</w:t>
      </w:r>
      <w:r>
        <w:t xml:space="preserve"> Alemania lidera en ingresos (1,568 M€) y Austria es el último país (683 k€).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Categorías:</w:t>
      </w:r>
      <w:r>
        <w:t xml:space="preserve"> Wellness (33,6 %) y Personal Care (33,5 %) tienen los mejores márgenes.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Evolución mensual:</w:t>
      </w:r>
      <w:r>
        <w:t xml:space="preserve"> los ingresos mensuales oscilan entre unos 330 k€ y unos 390 k€, sin una estacionalidad estable.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Promociones:</w:t>
      </w:r>
      <w:r>
        <w:t xml:space="preserve"> el margen es del 29,0 % sin promoción frente al 19,9 % con promoción.</w:t>
      </w:r>
    </w:p>
    <w:p>
      <w:pPr>
        <w:pStyle w:val="Heading3"/>
      </w:pPr>
      <w:r>
        <w:t xml:space="preserve">Alertas</w:t>
      </w:r>
    </w:p>
    <w:p>
      <w:pPr/>
      <w:r>
        <w:t xml:space="preserve">Las reglas se encuentran en la carpeta </w:t>
      </w:r>
      <w:r>
        <w:rPr>
          <w:rStyle w:val="CodeChar"/>
        </w:rPr>
        <w:t xml:space="preserve">Farmacias</w:t>
      </w:r>
      <w:r>
        <w:t xml:space="preserve">, dentro del grupo de evaluación </w:t>
      </w:r>
      <w:r>
        <w:rPr>
          <w:rStyle w:val="CodeChar"/>
        </w:rPr>
        <w:t xml:space="preserve">farmacias-1m</w:t>
      </w:r>
      <w:r>
        <w:t xml:space="preserve"> (cada 1 minuto, pending 0 s). Cada regla usa una consulta Flux, seguida de una reducción (Reduce, Last) y un umbral (Threshold).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Regla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Condición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Valor actual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 Margen % en promoción</w:t>
            </w:r>
          </w:p>
        </w:tc>
        <w:tc>
          <w:tcPr>
            <w:tcW w:w="2340" w:type="dxa"/>
          </w:tcPr>
          <w:p>
            <w:pPr/>
            <w:r>
              <w:t xml:space="preserve">&lt; 20</w:t>
            </w:r>
          </w:p>
        </w:tc>
        <w:tc>
          <w:tcPr>
            <w:tcW w:w="2340" w:type="dxa"/>
          </w:tcPr>
          <w:p>
            <w:pPr/>
            <w:r>
              <w:t xml:space="preserve">~19,92</w:t>
            </w:r>
          </w:p>
        </w:tc>
        <w:tc>
          <w:tcPr>
            <w:tcW w:w="2340" w:type="dxa"/>
          </w:tcPr>
          <w:p>
            <w:pPr/>
            <w:r>
              <w:t xml:space="preserve">Firing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2. Ingresos de febrero de 2026 (bucket diario)</w:t>
            </w:r>
          </w:p>
        </w:tc>
        <w:tc>
          <w:tcPr>
            <w:tcW w:w="2340" w:type="dxa"/>
          </w:tcPr>
          <w:p>
            <w:pPr/>
            <w:r>
              <w:t xml:space="preserve">&lt; 350.000</w:t>
            </w:r>
          </w:p>
        </w:tc>
        <w:tc>
          <w:tcPr>
            <w:tcW w:w="2340" w:type="dxa"/>
          </w:tcPr>
          <w:p>
            <w:pPr/>
            <w:r>
              <w:t xml:space="preserve">~329 k€ [CONFIRMAR valor en Preview]</w:t>
            </w:r>
          </w:p>
        </w:tc>
        <w:tc>
          <w:tcPr>
            <w:tcW w:w="2340" w:type="dxa"/>
          </w:tcPr>
          <w:p>
            <w:pPr/>
            <w:r>
              <w:t xml:space="preserve">Firing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3. Margen % de Prescription</w:t>
            </w:r>
          </w:p>
        </w:tc>
        <w:tc>
          <w:tcPr>
            <w:tcW w:w="2340" w:type="dxa"/>
          </w:tcPr>
          <w:p>
            <w:pPr/>
            <w:r>
              <w:t xml:space="preserve">&lt; 20</w:t>
            </w:r>
          </w:p>
        </w:tc>
        <w:tc>
          <w:tcPr>
            <w:tcW w:w="2340" w:type="dxa"/>
          </w:tcPr>
          <w:p>
            <w:pPr/>
            <w:r>
              <w:t xml:space="preserve">~21,9 [CONFIRMAR valor en Preview]</w:t>
            </w:r>
          </w:p>
        </w:tc>
        <w:tc>
          <w:tcPr>
            <w:tcW w:w="2340" w:type="dxa"/>
          </w:tcPr>
          <w:p>
            <w:pPr/>
            <w:r>
              <w:t xml:space="preserve">Normal</w:t>
            </w:r>
          </w:p>
        </w:tc>
      </w:tr>
    </w:tbl>
    <w:p>
      <w:pPr/>
      <w:r>
        <w:t xml:space="preserve">La regla 2 se evalúa sobre datos simulados de 2026. En la lista de reglas son visibles dos estados distintos, Firing y Normal.</w:t>
      </w:r>
    </w:p>
    <w:p>
      <w:pPr/>
      <w:r>
        <w:t xml:space="preserve">[CAPTURA: lista de reglas de alerta en Grafana mostrando los estados Firing y Normal]</w:t>
      </w:r>
    </w:p>
    <w:p>
      <w:pPr>
        <w:pStyle w:val="Heading2"/>
      </w:pPr>
      <w:r>
        <w:t xml:space="preserve">Archivos entregados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flujos_nodered.json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dashboards_grafana.json</w:t>
      </w:r>
    </w:p>
    <w:p>
      <w:pPr>
        <w:pStyle w:val="ListParagraph"/>
        <w:numPr>
          <w:ilvl w:val="0"/>
          <w:numId w:val="11"/>
        </w:numPr>
      </w:pPr>
      <w:r>
        <w:t xml:space="preserve">Reglas de alerta exportadas (JSON)</w:t>
      </w:r>
    </w:p>
    <w:p>
      <w:pPr>
        <w:pStyle w:val="ListParagraph"/>
        <w:numPr>
          <w:ilvl w:val="0"/>
          <w:numId w:val="11"/>
        </w:numPr>
      </w:pPr>
      <w:r>
        <w:t xml:space="preserve">Organigrama de InfluxDB</w:t>
      </w:r>
    </w:p>
    <w:p>
      <w:pPr>
        <w:pStyle w:val="ListParagraph"/>
        <w:numPr>
          <w:ilvl w:val="0"/>
          <w:numId w:val="11"/>
        </w:numPr>
      </w:pPr>
      <w:r>
        <w:t xml:space="preserve">Notebook </w:t>
      </w:r>
      <w:r>
        <w:rPr>
          <w:rStyle w:val="CodeChar"/>
        </w:rPr>
        <w:t xml:space="preserve">Preparar_datos_influxdb.ipynb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consultas.flux</w:t>
      </w:r>
    </w:p>
    <w:p>
      <w:pPr>
        <w:pStyle w:val="ListParagraph"/>
        <w:numPr>
          <w:ilvl w:val="0"/>
          <w:numId w:val="11"/>
        </w:numPr>
      </w:pPr>
      <w:r>
        <w:t xml:space="preserve">Capturas de pantalla</w:t>
      </w:r>
    </w:p>
    <w:p>
      <w:pPr/>
      <w:r>
        <w:t xml:space="preserve">Los CSV (</w:t>
      </w:r>
      <w:r>
        <w:rPr>
          <w:rStyle w:val="CodeChar"/>
        </w:rPr>
        <w:t xml:space="preserve">ventas_diarias.csv</w:t>
      </w:r>
      <w:r>
        <w:t xml:space="preserve"> y </w:t>
      </w:r>
      <w:r>
        <w:rPr>
          <w:rStyle w:val="CodeChar"/>
        </w:rPr>
        <w:t xml:space="preserve">ventas_mensuales.csv</w:t>
      </w:r>
      <w:r>
        <w:t xml:space="preserve">) son ficheros generados y no se versionan.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Documentación de Big Data Aplicado (BDA) ventas de farmacias europeas</dc:title>
  <dc:description>Claude Docs node/43a89afd-7957@1 docx-w6</dc:description>
  <cp:revision>1</cp:revision>
</cp:coreProperties>
</file>